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F422E">
      <w:pPr>
        <w:rPr>
          <w:rFonts w:hint="eastAsia" w:ascii="黑体" w:hAnsi="黑体" w:eastAsia="黑体"/>
          <w:sz w:val="32"/>
          <w:szCs w:val="32"/>
        </w:rPr>
      </w:pPr>
    </w:p>
    <w:p w14:paraId="59FDE4BB">
      <w:pPr>
        <w:jc w:val="center"/>
        <w:rPr>
          <w:rFonts w:hint="eastAsia" w:ascii="方正小标宋_GBK" w:hAnsi="宋体" w:eastAsia="方正小标宋_GBK"/>
          <w:sz w:val="44"/>
          <w:szCs w:val="44"/>
        </w:rPr>
      </w:pPr>
    </w:p>
    <w:p w14:paraId="215093A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木垒哈萨克自治县第三小学</w:t>
      </w:r>
    </w:p>
    <w:p w14:paraId="5FCC64B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BFE911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FA70B2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7A878C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91B208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2797E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97025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AAD49F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3ECB0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7467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E90A4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DD08E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94614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71337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06CD7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BEC1C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CEFA5E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A73DE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B937B6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63C18A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FD9687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3CCB3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092A21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E23F20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E50152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DDE18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3D10E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E377E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B1052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4577D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C1174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4A2BA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2E1070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ED7D4E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BCB7D75">
      <w:r>
        <w:rPr>
          <w:rFonts w:hint="eastAsia" w:ascii="仿宋_GB2312" w:hAnsi="仿宋_GB2312" w:eastAsia="仿宋_GB2312" w:cs="仿宋_GB2312"/>
          <w:sz w:val="32"/>
          <w:szCs w:val="32"/>
        </w:rPr>
        <w:fldChar w:fldCharType="end"/>
      </w:r>
    </w:p>
    <w:p w14:paraId="73CF5F0E">
      <w:pPr>
        <w:rPr>
          <w:rFonts w:ascii="仿宋_GB2312" w:eastAsia="仿宋_GB2312"/>
          <w:sz w:val="32"/>
          <w:szCs w:val="32"/>
        </w:rPr>
      </w:pPr>
      <w:r>
        <w:rPr>
          <w:rFonts w:hint="eastAsia" w:ascii="仿宋_GB2312" w:eastAsia="仿宋_GB2312"/>
          <w:sz w:val="32"/>
          <w:szCs w:val="32"/>
        </w:rPr>
        <w:br w:type="page"/>
      </w:r>
    </w:p>
    <w:p w14:paraId="22146E5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4B4FE8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3B1A468">
      <w:pPr>
        <w:ind w:firstLine="640" w:firstLineChars="200"/>
        <w:jc w:val="left"/>
        <w:rPr>
          <w:rFonts w:ascii="仿宋_GB2312" w:eastAsia="仿宋_GB2312"/>
          <w:sz w:val="32"/>
          <w:szCs w:val="32"/>
        </w:rPr>
      </w:pPr>
      <w:r>
        <w:rPr>
          <w:rFonts w:hint="eastAsia" w:ascii="仿宋_GB2312" w:eastAsia="仿宋_GB2312"/>
          <w:kern w:val="0"/>
          <w:sz w:val="32"/>
        </w:rPr>
        <w:t>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r>
        <w:rPr>
          <w:rFonts w:hint="eastAsia" w:ascii="仿宋_GB2312" w:eastAsia="仿宋_GB2312"/>
          <w:sz w:val="32"/>
          <w:szCs w:val="32"/>
        </w:rPr>
        <w:t>。</w:t>
      </w:r>
    </w:p>
    <w:p w14:paraId="30017056">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F1C27F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木垒哈萨克自治县第三小学2023年度，实有人数</w:t>
      </w:r>
      <w:r>
        <w:rPr>
          <w:rFonts w:hint="eastAsia" w:ascii="仿宋_GB2312" w:eastAsia="仿宋_GB2312"/>
          <w:sz w:val="32"/>
          <w:szCs w:val="32"/>
          <w:lang w:val="zh-CN"/>
        </w:rPr>
        <w:t>172</w:t>
      </w:r>
      <w:r>
        <w:rPr>
          <w:rFonts w:hint="eastAsia" w:ascii="仿宋_GB2312" w:eastAsia="仿宋_GB2312"/>
          <w:sz w:val="32"/>
          <w:szCs w:val="32"/>
        </w:rPr>
        <w:t>人，其中：在职人员</w:t>
      </w:r>
      <w:r>
        <w:rPr>
          <w:rFonts w:hint="eastAsia" w:ascii="仿宋_GB2312" w:eastAsia="仿宋_GB2312"/>
          <w:sz w:val="32"/>
          <w:szCs w:val="32"/>
          <w:lang w:val="zh-CN"/>
        </w:rPr>
        <w:t>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95</w:t>
      </w:r>
      <w:r>
        <w:rPr>
          <w:rFonts w:hint="eastAsia" w:ascii="仿宋_GB2312" w:eastAsia="仿宋_GB2312"/>
          <w:sz w:val="32"/>
          <w:szCs w:val="32"/>
        </w:rPr>
        <w:t>人。</w:t>
      </w:r>
    </w:p>
    <w:p w14:paraId="1C5EC5B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eastAsia="仿宋_GB2312"/>
          <w:kern w:val="0"/>
          <w:sz w:val="32"/>
        </w:rPr>
        <w:t>校务办公室、党务办公室、工会、教务室、教研室、总务室、财务室</w:t>
      </w:r>
      <w:r>
        <w:rPr>
          <w:rFonts w:hint="eastAsia" w:ascii="仿宋_GB2312" w:hAnsi="宋体" w:eastAsia="仿宋_GB2312" w:cs="宋体"/>
          <w:kern w:val="0"/>
          <w:sz w:val="32"/>
          <w:szCs w:val="32"/>
        </w:rPr>
        <w:t>。</w:t>
      </w:r>
    </w:p>
    <w:p w14:paraId="5C309522">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23B8B1A">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F468223">
      <w:pPr>
        <w:ind w:firstLine="640" w:firstLineChars="200"/>
        <w:jc w:val="left"/>
        <w:rPr>
          <w:rFonts w:ascii="仿宋_GB2312" w:eastAsia="仿宋_GB2312"/>
          <w:sz w:val="32"/>
          <w:szCs w:val="32"/>
        </w:rPr>
      </w:pPr>
      <w:r>
        <w:rPr>
          <w:rFonts w:hint="eastAsia" w:ascii="仿宋_GB2312" w:eastAsia="仿宋_GB2312"/>
          <w:sz w:val="32"/>
          <w:szCs w:val="32"/>
        </w:rPr>
        <w:t>2023年度收入总计2,058.49万元，其中：本年收入合计2,058.42万元，使用非财政拨款结余0.00万元，年初结转和结余0.07万元。</w:t>
      </w:r>
    </w:p>
    <w:p w14:paraId="58075CFA">
      <w:pPr>
        <w:ind w:firstLine="640" w:firstLineChars="200"/>
        <w:jc w:val="left"/>
        <w:rPr>
          <w:rFonts w:ascii="仿宋_GB2312" w:eastAsia="仿宋_GB2312"/>
          <w:sz w:val="32"/>
          <w:szCs w:val="32"/>
        </w:rPr>
      </w:pPr>
      <w:r>
        <w:rPr>
          <w:rFonts w:hint="eastAsia" w:ascii="仿宋_GB2312" w:eastAsia="仿宋_GB2312"/>
          <w:sz w:val="32"/>
          <w:szCs w:val="32"/>
        </w:rPr>
        <w:t>2023年度支出总计2,058.49万元，其中：本年支出合计2,057.19万元，结余分配0.00万元，年末结转和结余1.30万元。</w:t>
      </w:r>
    </w:p>
    <w:p w14:paraId="74DB227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减少90.74万元</w:t>
      </w:r>
      <w:r>
        <w:rPr>
          <w:rFonts w:hint="eastAsia" w:ascii="仿宋_GB2312" w:eastAsia="仿宋_GB2312"/>
          <w:sz w:val="32"/>
          <w:szCs w:val="32"/>
        </w:rPr>
        <w:t>，下降4.22%，主要原因是：人员减少、基础绩效奖金减少。</w:t>
      </w:r>
    </w:p>
    <w:p w14:paraId="4AFF3DB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FAA3273">
      <w:pPr>
        <w:ind w:firstLine="640" w:firstLineChars="200"/>
        <w:jc w:val="left"/>
        <w:rPr>
          <w:rFonts w:ascii="仿宋_GB2312" w:eastAsia="仿宋_GB2312"/>
          <w:sz w:val="32"/>
          <w:szCs w:val="32"/>
        </w:rPr>
      </w:pPr>
      <w:r>
        <w:rPr>
          <w:rFonts w:hint="eastAsia" w:ascii="仿宋_GB2312" w:eastAsia="仿宋_GB2312"/>
          <w:sz w:val="32"/>
          <w:szCs w:val="32"/>
        </w:rPr>
        <w:t>本年收入2,058.42万元，其中：财政拨款收入</w:t>
      </w:r>
      <w:r>
        <w:rPr>
          <w:rFonts w:hint="eastAsia" w:ascii="仿宋_GB2312" w:eastAsia="仿宋_GB2312"/>
          <w:sz w:val="32"/>
          <w:szCs w:val="32"/>
          <w:lang w:val="zh-CN"/>
        </w:rPr>
        <w:t>1,951.87</w:t>
      </w:r>
      <w:r>
        <w:rPr>
          <w:rFonts w:hint="eastAsia" w:ascii="仿宋_GB2312" w:eastAsia="仿宋_GB2312"/>
          <w:sz w:val="32"/>
          <w:szCs w:val="32"/>
        </w:rPr>
        <w:t>万元，占</w:t>
      </w:r>
      <w:r>
        <w:rPr>
          <w:rFonts w:hint="eastAsia" w:ascii="仿宋_GB2312" w:eastAsia="仿宋_GB2312"/>
          <w:sz w:val="32"/>
          <w:szCs w:val="32"/>
          <w:lang w:val="zh-CN"/>
        </w:rPr>
        <w:t>94.82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106.54</w:t>
      </w:r>
      <w:r>
        <w:rPr>
          <w:rFonts w:hint="eastAsia" w:ascii="仿宋_GB2312" w:eastAsia="仿宋_GB2312"/>
          <w:sz w:val="32"/>
          <w:szCs w:val="32"/>
        </w:rPr>
        <w:t>万元，占</w:t>
      </w:r>
      <w:r>
        <w:rPr>
          <w:rFonts w:hint="eastAsia" w:ascii="仿宋_GB2312" w:eastAsia="仿宋_GB2312"/>
          <w:sz w:val="32"/>
          <w:szCs w:val="32"/>
          <w:lang w:val="zh-CN"/>
        </w:rPr>
        <w:t>5.18</w:t>
      </w:r>
      <w:r>
        <w:rPr>
          <w:rFonts w:hint="eastAsia" w:ascii="仿宋_GB2312" w:eastAsia="仿宋_GB2312"/>
          <w:sz w:val="32"/>
          <w:szCs w:val="32"/>
        </w:rPr>
        <w:t>%。</w:t>
      </w:r>
    </w:p>
    <w:p w14:paraId="28B2EDA4">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0391D99">
      <w:pPr>
        <w:ind w:firstLine="640" w:firstLineChars="200"/>
        <w:jc w:val="left"/>
        <w:rPr>
          <w:rFonts w:ascii="仿宋_GB2312" w:eastAsia="仿宋_GB2312"/>
          <w:sz w:val="32"/>
          <w:szCs w:val="32"/>
        </w:rPr>
      </w:pPr>
      <w:r>
        <w:rPr>
          <w:rFonts w:hint="eastAsia" w:ascii="仿宋_GB2312" w:eastAsia="仿宋_GB2312"/>
          <w:sz w:val="32"/>
          <w:szCs w:val="32"/>
        </w:rPr>
        <w:t>本年支出2,057.19万元，其中：基本支出1,944.05万元，占94.50%；项目支出113.14万元，占5.50%；上缴上级支出0.00万元，占0.00%；经营支出0.00万元，占0.00%；对附属单位补助支出0.00万元，占0.00%。</w:t>
      </w:r>
    </w:p>
    <w:p w14:paraId="1F2E830E">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2F5AC5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1,951.87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1,951.87</w:t>
      </w:r>
      <w:r>
        <w:rPr>
          <w:rFonts w:hint="eastAsia" w:ascii="仿宋_GB2312" w:eastAsia="仿宋_GB2312"/>
          <w:sz w:val="32"/>
          <w:szCs w:val="32"/>
        </w:rPr>
        <w:t>万元。财政拨款支出总计</w:t>
      </w:r>
      <w:r>
        <w:rPr>
          <w:rFonts w:hint="eastAsia" w:ascii="仿宋_GB2312" w:eastAsia="仿宋_GB2312"/>
          <w:sz w:val="32"/>
          <w:szCs w:val="32"/>
          <w:lang w:val="zh-CN"/>
        </w:rPr>
        <w:t>1,951.87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1,951.87</w:t>
      </w:r>
      <w:r>
        <w:rPr>
          <w:rFonts w:hint="eastAsia" w:ascii="仿宋_GB2312" w:eastAsia="仿宋_GB2312"/>
          <w:sz w:val="32"/>
          <w:szCs w:val="32"/>
        </w:rPr>
        <w:t>万元。</w:t>
      </w:r>
    </w:p>
    <w:p w14:paraId="06DFE8C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，下降6.75%,主要原因是：人员减少、基础绩效奖金减少。与年初预算相比，年初预算数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万元，预决算差异率0.77%，主要原因是：本年单位追加死亡抚恤金经费。</w:t>
      </w:r>
    </w:p>
    <w:p w14:paraId="2E6E93E9">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4C6E3D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AF3B7A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2023年度一般公共预算财政拨款支出1,951.87万元，占本年支出合计的</w:t>
      </w:r>
      <w:r>
        <w:rPr>
          <w:rFonts w:hint="eastAsia" w:ascii="仿宋_GB2312" w:eastAsia="仿宋_GB2312"/>
          <w:sz w:val="32"/>
          <w:szCs w:val="32"/>
          <w:lang w:val="zh-CN"/>
        </w:rPr>
        <w:t>94.88%</w:t>
      </w:r>
      <w:r>
        <w:rPr>
          <w:rFonts w:hint="eastAsia" w:ascii="仿宋_GB2312" w:eastAsia="仿宋_GB2312"/>
          <w:sz w:val="32"/>
          <w:szCs w:val="32"/>
        </w:rPr>
        <w:t>。与上年相比，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，下降6.75%,主要原因是：人员减少、基础绩效奖金减少。与年初预算相比，年初预算数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w:t>
      </w:r>
      <w:r>
        <w:rPr>
          <w:rFonts w:hint="eastAsia" w:ascii="仿宋_GB2312" w:eastAsia="仿宋_GB2312"/>
          <w:sz w:val="32"/>
          <w:szCs w:val="32"/>
          <w:lang w:val="zh-CN"/>
        </w:rPr>
        <w:t>0.77%</w:t>
      </w:r>
      <w:r>
        <w:rPr>
          <w:rFonts w:hint="eastAsia" w:ascii="仿宋_GB2312" w:eastAsia="仿宋_GB2312"/>
          <w:sz w:val="32"/>
          <w:szCs w:val="32"/>
        </w:rPr>
        <w:t>，主要原因是：本年单位追加死亡抚恤金经费。</w:t>
      </w:r>
    </w:p>
    <w:p w14:paraId="217C924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E35B2F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1,834.01</w:t>
      </w:r>
      <w:r>
        <w:rPr>
          <w:rFonts w:ascii="仿宋_GB2312" w:eastAsia="仿宋_GB2312"/>
          <w:kern w:val="2"/>
          <w:sz w:val="32"/>
          <w:szCs w:val="32"/>
          <w:lang w:val="zh-CN"/>
        </w:rPr>
        <w:t>万元，占</w:t>
      </w:r>
      <w:r>
        <w:rPr>
          <w:rFonts w:hint="eastAsia" w:ascii="仿宋_GB2312" w:eastAsia="仿宋_GB2312"/>
          <w:kern w:val="2"/>
          <w:sz w:val="32"/>
          <w:szCs w:val="32"/>
          <w:lang w:val="zh-CN"/>
        </w:rPr>
        <w:t>93.96</w:t>
      </w:r>
      <w:r>
        <w:rPr>
          <w:rFonts w:ascii="仿宋_GB2312" w:eastAsia="仿宋_GB2312"/>
          <w:kern w:val="2"/>
          <w:sz w:val="32"/>
          <w:szCs w:val="32"/>
          <w:lang w:val="zh-CN"/>
        </w:rPr>
        <w:t>%；</w:t>
      </w:r>
    </w:p>
    <w:p w14:paraId="0F1E113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117.86</w:t>
      </w:r>
      <w:r>
        <w:rPr>
          <w:rFonts w:ascii="仿宋_GB2312" w:eastAsia="仿宋_GB2312"/>
          <w:kern w:val="2"/>
          <w:sz w:val="32"/>
          <w:szCs w:val="32"/>
          <w:lang w:val="zh-CN"/>
        </w:rPr>
        <w:t>万元，占</w:t>
      </w:r>
      <w:r>
        <w:rPr>
          <w:rFonts w:hint="eastAsia" w:ascii="仿宋_GB2312" w:eastAsia="仿宋_GB2312"/>
          <w:kern w:val="2"/>
          <w:sz w:val="32"/>
          <w:szCs w:val="32"/>
          <w:lang w:val="zh-CN"/>
        </w:rPr>
        <w:t>6.04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1D4951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F5CA822">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1.社会保障和就业支出（类）抚恤（款）死亡抚恤（项）:支出决算数为17.50万元，比上年决算增加11.4</w:t>
      </w:r>
      <w:r>
        <w:rPr>
          <w:rFonts w:hint="eastAsia" w:ascii="仿宋_GB2312" w:eastAsia="仿宋_GB2312"/>
          <w:sz w:val="32"/>
          <w:szCs w:val="32"/>
          <w:lang w:val="en-US" w:eastAsia="zh-CN"/>
        </w:rPr>
        <w:t>5</w:t>
      </w:r>
      <w:r>
        <w:rPr>
          <w:rFonts w:hint="eastAsia" w:ascii="仿宋_GB2312" w:eastAsia="仿宋_GB2312"/>
          <w:sz w:val="32"/>
          <w:szCs w:val="32"/>
        </w:rPr>
        <w:t>万元，增长18</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26</w:t>
      </w:r>
      <w:r>
        <w:rPr>
          <w:rFonts w:hint="eastAsia" w:ascii="仿宋_GB2312" w:eastAsia="仿宋_GB2312"/>
          <w:sz w:val="32"/>
          <w:szCs w:val="32"/>
        </w:rPr>
        <w:t>%，主要原因是：本年死亡人员增加，抚恤金增加。</w:t>
      </w:r>
    </w:p>
    <w:p w14:paraId="4A61DC7F">
      <w:pPr>
        <w:ind w:firstLine="640" w:firstLineChars="200"/>
        <w:jc w:val="left"/>
        <w:rPr>
          <w:rFonts w:ascii="仿宋_GB2312" w:eastAsia="仿宋_GB2312"/>
          <w:sz w:val="32"/>
          <w:szCs w:val="32"/>
        </w:rPr>
      </w:pPr>
      <w:r>
        <w:rPr>
          <w:rFonts w:hint="eastAsia" w:ascii="仿宋_GB2312" w:eastAsia="仿宋_GB2312"/>
          <w:sz w:val="32"/>
          <w:szCs w:val="32"/>
        </w:rPr>
        <w:t>2.教育支出（类）普通教育（款）小学教育（项）:支出决算数为1,834.01万元，比上年决算减少150.01万元，下降7.56%，主要原因是：人员减少、朱子文化长廊项目已完成。</w:t>
      </w:r>
    </w:p>
    <w:p w14:paraId="3D8E4EFA">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3.社会保障和就业支出（类）行政事业单位养老支出（款）事业单位离退休（项）:支出决算数为29.85万元，比上年决算增加17.3</w:t>
      </w:r>
      <w:r>
        <w:rPr>
          <w:rFonts w:hint="eastAsia" w:ascii="仿宋_GB2312" w:eastAsia="仿宋_GB2312"/>
          <w:sz w:val="32"/>
          <w:szCs w:val="32"/>
          <w:lang w:val="en-US" w:eastAsia="zh-CN"/>
        </w:rPr>
        <w:t>3</w:t>
      </w:r>
      <w:r>
        <w:rPr>
          <w:rFonts w:hint="eastAsia" w:ascii="仿宋_GB2312" w:eastAsia="仿宋_GB2312"/>
          <w:sz w:val="32"/>
          <w:szCs w:val="32"/>
        </w:rPr>
        <w:t>万元，增长138.</w:t>
      </w:r>
      <w:r>
        <w:rPr>
          <w:rFonts w:hint="eastAsia" w:ascii="仿宋_GB2312" w:eastAsia="仿宋_GB2312"/>
          <w:sz w:val="32"/>
          <w:szCs w:val="32"/>
          <w:lang w:val="en-US" w:eastAsia="zh-CN"/>
        </w:rPr>
        <w:t>42</w:t>
      </w:r>
      <w:r>
        <w:rPr>
          <w:rFonts w:hint="eastAsia" w:ascii="仿宋_GB2312" w:eastAsia="仿宋_GB2312"/>
          <w:sz w:val="32"/>
          <w:szCs w:val="32"/>
        </w:rPr>
        <w:t>%，主要原因是：退休人员绩效工资增加。</w:t>
      </w:r>
    </w:p>
    <w:p w14:paraId="00AC0D17">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4.社会保障和就业支出（类）行政事业单位养老支出（款）机关事业单位职业年金缴费支出（项）:支出决算数为70.51万元，比上年决算减少0.0</w:t>
      </w:r>
      <w:r>
        <w:rPr>
          <w:rFonts w:hint="eastAsia" w:ascii="仿宋_GB2312" w:eastAsia="仿宋_GB2312"/>
          <w:sz w:val="32"/>
          <w:szCs w:val="32"/>
          <w:lang w:val="en-US" w:eastAsia="zh-CN"/>
        </w:rPr>
        <w:t>7</w:t>
      </w:r>
      <w:r>
        <w:rPr>
          <w:rFonts w:hint="eastAsia" w:ascii="仿宋_GB2312" w:eastAsia="仿宋_GB2312"/>
          <w:sz w:val="32"/>
          <w:szCs w:val="32"/>
        </w:rPr>
        <w:t>万元，下降0.</w:t>
      </w:r>
      <w:r>
        <w:rPr>
          <w:rFonts w:hint="eastAsia" w:ascii="仿宋_GB2312" w:eastAsia="仿宋_GB2312"/>
          <w:sz w:val="32"/>
          <w:szCs w:val="32"/>
          <w:lang w:val="en-US" w:eastAsia="zh-CN"/>
        </w:rPr>
        <w:t>10</w:t>
      </w:r>
      <w:bookmarkStart w:id="48" w:name="_GoBack"/>
      <w:bookmarkEnd w:id="48"/>
      <w:r>
        <w:rPr>
          <w:rFonts w:hint="eastAsia" w:ascii="仿宋_GB2312" w:eastAsia="仿宋_GB2312"/>
          <w:sz w:val="32"/>
          <w:szCs w:val="32"/>
        </w:rPr>
        <w:t>%，主要原因是：退休人员减少，相应一次性职业年金缴费支出减少。</w:t>
      </w:r>
    </w:p>
    <w:p w14:paraId="25A01255">
      <w:pPr>
        <w:ind w:firstLine="640" w:firstLineChars="200"/>
        <w:jc w:val="left"/>
        <w:rPr>
          <w:rFonts w:ascii="仿宋_GB2312" w:eastAsia="仿宋_GB2312"/>
          <w:sz w:val="32"/>
          <w:szCs w:val="32"/>
        </w:rPr>
      </w:pPr>
      <w:r>
        <w:rPr>
          <w:rFonts w:hint="eastAsia" w:ascii="仿宋_GB2312" w:eastAsia="仿宋_GB2312"/>
          <w:sz w:val="32"/>
          <w:szCs w:val="32"/>
        </w:rPr>
        <w:t>5.教育支出（类）教育费附加安排的支出（款）城市中小学校舍建设（项）:支出决算数为0.00万元，比上年决算减少10.00万元，下降100%，主要原因是：本年减少城市教育费附加项目经费。</w:t>
      </w:r>
    </w:p>
    <w:p w14:paraId="20F6521B">
      <w:pPr>
        <w:ind w:firstLine="640" w:firstLineChars="200"/>
        <w:jc w:val="left"/>
        <w:rPr>
          <w:rFonts w:ascii="仿宋_GB2312" w:eastAsia="仿宋_GB2312"/>
          <w:sz w:val="32"/>
          <w:szCs w:val="32"/>
        </w:rPr>
      </w:pPr>
      <w:r>
        <w:rPr>
          <w:rFonts w:hint="eastAsia" w:ascii="仿宋_GB2312" w:eastAsia="仿宋_GB2312"/>
          <w:sz w:val="32"/>
          <w:szCs w:val="32"/>
        </w:rPr>
        <w:t>6.教育支出（类）教育费附加安排的支出（款）城市中小学教学设施（项）:支出决算数为0.00万元，比上年决算减少10.00万元，下降100%，主要原因是：本年减少教育费附加项目经费。</w:t>
      </w:r>
    </w:p>
    <w:p w14:paraId="3E62E1D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9AEF87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1,838.73万元，其中：人员经费1,817.74万元，包括：基本工资、津贴补贴、奖金、机关事业单位基本养老保险缴费、职业年金缴费、职工基本医疗保险缴费、其他社会保障缴费、住房公积金、退休费、抚恤金、助学金、奖励金。</w:t>
      </w:r>
    </w:p>
    <w:p w14:paraId="0CB9C768">
      <w:pPr>
        <w:ind w:firstLine="640" w:firstLineChars="200"/>
        <w:jc w:val="left"/>
        <w:rPr>
          <w:rFonts w:ascii="仿宋_GB2312" w:eastAsia="仿宋_GB2312"/>
          <w:sz w:val="32"/>
          <w:szCs w:val="32"/>
        </w:rPr>
      </w:pPr>
      <w:r>
        <w:rPr>
          <w:rFonts w:hint="eastAsia" w:ascii="仿宋_GB2312" w:eastAsia="仿宋_GB2312"/>
          <w:sz w:val="32"/>
          <w:szCs w:val="32"/>
        </w:rPr>
        <w:t>公用经费20.99万元，包括：水费、电费、邮电费、取暖费、公务用车运行维护费。</w:t>
      </w:r>
    </w:p>
    <w:p w14:paraId="511E785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422397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“三公”经费支出0.35万元，</w:t>
      </w:r>
      <w:r>
        <w:rPr>
          <w:rFonts w:hint="eastAsia" w:ascii="仿宋_GB2312" w:eastAsia="仿宋_GB2312"/>
          <w:sz w:val="32"/>
          <w:szCs w:val="32"/>
        </w:rPr>
        <w:t>比上年</w:t>
      </w:r>
      <w:r>
        <w:rPr>
          <w:rFonts w:hint="eastAsia" w:ascii="仿宋_GB2312" w:eastAsia="仿宋_GB2312"/>
          <w:sz w:val="32"/>
          <w:szCs w:val="32"/>
          <w:lang w:val="zh-CN"/>
        </w:rPr>
        <w:t>减少0.31万元，</w:t>
      </w:r>
      <w:r>
        <w:rPr>
          <w:rFonts w:hint="eastAsia" w:ascii="仿宋_GB2312" w:eastAsia="仿宋_GB2312"/>
          <w:sz w:val="32"/>
          <w:szCs w:val="32"/>
        </w:rPr>
        <w:t>下降46.97%,</w:t>
      </w:r>
      <w:r>
        <w:rPr>
          <w:rFonts w:hint="eastAsia" w:ascii="仿宋_GB2312" w:eastAsia="仿宋_GB2312"/>
          <w:sz w:val="32"/>
          <w:szCs w:val="32"/>
          <w:lang w:val="zh-CN"/>
        </w:rPr>
        <w:t>主要原因是：车辆使用减少维修费减少。其中：因公出国（境）费支出0.00万元，占0.00%，比上年增加0.00万元，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主要原因是：本年单位无此项支出；公务用车购置及运行维护费支出0.35万元，占100.00%，比上年减少0.31万元，</w:t>
      </w:r>
      <w:r>
        <w:rPr>
          <w:rFonts w:hint="eastAsia" w:ascii="仿宋_GB2312" w:eastAsia="仿宋_GB2312"/>
          <w:sz w:val="32"/>
          <w:szCs w:val="32"/>
        </w:rPr>
        <w:t>下降46.97%,</w:t>
      </w:r>
      <w:r>
        <w:rPr>
          <w:rFonts w:hint="eastAsia" w:ascii="仿宋_GB2312" w:eastAsia="仿宋_GB2312"/>
          <w:sz w:val="32"/>
          <w:szCs w:val="32"/>
          <w:lang w:val="zh-CN"/>
        </w:rPr>
        <w:t>主要原因是：车辆使用减少，维修费减少；公务接待费支出0.00万元，占0.00%，比上年增加0.00万元，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14:paraId="3ECA31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5A368F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516FC70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0.35万元，其中：公务用车购置费0.00万元，公务用车运行维护费0.35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06AF9E8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1B3268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76DB6769">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E163931">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7B6165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353BFF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BC51ED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BB1A340">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F05E9F6">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2023年度木垒哈萨克自治县第三小学（事业单位）公用经费支出20.99万元，比上年增加11.74万元，增长126.92%，主要原因是：校园公用取暖费、邮电费增加。</w:t>
      </w:r>
    </w:p>
    <w:p w14:paraId="15EEFEE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C131C0B">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2023年度政府采购支出总额136.24万元，其中：政府采购货物支出43.03万元、政府采购工程支出52.14万元、政府采购服务支出41.07万元。</w:t>
      </w:r>
    </w:p>
    <w:p w14:paraId="075DCD1E">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授予中小企业合同金额133.25万元，占政府采购支出总额的97.81</w:t>
      </w:r>
      <w:r>
        <w:rPr>
          <w:rFonts w:ascii="仿宋_GB2312" w:eastAsia="仿宋_GB2312"/>
          <w:sz w:val="32"/>
          <w:szCs w:val="32"/>
        </w:rPr>
        <w:t>%</w:t>
      </w:r>
      <w:r>
        <w:rPr>
          <w:rFonts w:hint="eastAsia" w:ascii="仿宋_GB2312" w:eastAsia="仿宋_GB2312"/>
          <w:sz w:val="32"/>
          <w:szCs w:val="32"/>
        </w:rPr>
        <w:t>，其中：授予小微企业合同金额132.79万元，占政府采购支出总额的97.47</w:t>
      </w:r>
      <w:r>
        <w:rPr>
          <w:rFonts w:ascii="仿宋_GB2312" w:eastAsia="仿宋_GB2312"/>
          <w:sz w:val="32"/>
          <w:szCs w:val="32"/>
        </w:rPr>
        <w:t>%</w:t>
      </w:r>
      <w:r>
        <w:rPr>
          <w:rFonts w:hint="eastAsia" w:ascii="仿宋_GB2312" w:eastAsia="仿宋_GB2312"/>
          <w:sz w:val="32"/>
          <w:szCs w:val="32"/>
        </w:rPr>
        <w:t>。</w:t>
      </w:r>
    </w:p>
    <w:p w14:paraId="3F148F8B">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5AE7A8F">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3,682.44万元，房屋14,559.14平方米，价值2,303.08万元。车辆1辆，价值9.80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2D10C4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2289AB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预算总额2,058.49万元，实际执行总额2,057.19万元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191"/>
        <w:gridCol w:w="1158"/>
        <w:gridCol w:w="1097"/>
        <w:gridCol w:w="1164"/>
        <w:gridCol w:w="548"/>
        <w:gridCol w:w="909"/>
        <w:gridCol w:w="920"/>
      </w:tblGrid>
      <w:tr w14:paraId="2857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jc w:val="center"/>
        </w:trPr>
        <w:tc>
          <w:tcPr>
            <w:tcW w:w="8522" w:type="dxa"/>
            <w:gridSpan w:val="8"/>
            <w:shd w:val="clear" w:color="auto" w:fill="auto"/>
            <w:noWrap/>
            <w:vAlign w:val="center"/>
          </w:tcPr>
          <w:p w14:paraId="471AFD5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4493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6D09FE9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41CA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35" w:type="dxa"/>
            <w:shd w:val="clear" w:color="auto" w:fill="auto"/>
            <w:noWrap/>
            <w:vAlign w:val="center"/>
          </w:tcPr>
          <w:p w14:paraId="0695C1B4">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87" w:type="dxa"/>
            <w:gridSpan w:val="7"/>
            <w:shd w:val="clear" w:color="auto" w:fill="auto"/>
            <w:noWrap/>
            <w:vAlign w:val="center"/>
          </w:tcPr>
          <w:p w14:paraId="6A0B31AD">
            <w:pPr>
              <w:widowControl/>
              <w:jc w:val="center"/>
              <w:rPr>
                <w:rFonts w:hint="eastAsia" w:ascii="宋体" w:hAnsi="宋体" w:cs="宋体"/>
                <w:kern w:val="0"/>
                <w:sz w:val="20"/>
                <w:szCs w:val="20"/>
              </w:rPr>
            </w:pPr>
            <w:r>
              <w:rPr>
                <w:rFonts w:hint="eastAsia" w:ascii="宋体" w:hAnsi="宋体" w:cs="宋体"/>
                <w:kern w:val="0"/>
                <w:sz w:val="20"/>
                <w:szCs w:val="20"/>
              </w:rPr>
              <w:t>木垒县第三小学</w:t>
            </w:r>
          </w:p>
        </w:tc>
      </w:tr>
      <w:tr w14:paraId="4B5C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35" w:type="dxa"/>
            <w:vMerge w:val="restart"/>
            <w:shd w:val="clear" w:color="auto" w:fill="auto"/>
            <w:vAlign w:val="center"/>
          </w:tcPr>
          <w:p w14:paraId="6870D86F">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1" w:type="dxa"/>
            <w:shd w:val="clear" w:color="auto" w:fill="auto"/>
            <w:vAlign w:val="center"/>
          </w:tcPr>
          <w:p w14:paraId="32646E7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58" w:type="dxa"/>
            <w:shd w:val="clear" w:color="auto" w:fill="auto"/>
            <w:vAlign w:val="center"/>
          </w:tcPr>
          <w:p w14:paraId="01416C8D">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97" w:type="dxa"/>
            <w:shd w:val="clear" w:color="auto" w:fill="auto"/>
            <w:vAlign w:val="center"/>
          </w:tcPr>
          <w:p w14:paraId="2D0933AE">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64" w:type="dxa"/>
            <w:shd w:val="clear" w:color="auto" w:fill="auto"/>
            <w:vAlign w:val="center"/>
          </w:tcPr>
          <w:p w14:paraId="3D09D0DA">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48" w:type="dxa"/>
            <w:shd w:val="clear" w:color="auto" w:fill="auto"/>
            <w:vAlign w:val="center"/>
          </w:tcPr>
          <w:p w14:paraId="0058DD3E">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14:paraId="20E262A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920" w:type="dxa"/>
            <w:shd w:val="clear" w:color="auto" w:fill="auto"/>
            <w:vAlign w:val="center"/>
          </w:tcPr>
          <w:p w14:paraId="1A1C050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B90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054D2EA">
            <w:pPr>
              <w:widowControl/>
              <w:jc w:val="left"/>
              <w:rPr>
                <w:rFonts w:hint="eastAsia" w:ascii="宋体" w:hAnsi="宋体" w:cs="宋体"/>
                <w:kern w:val="0"/>
                <w:sz w:val="20"/>
                <w:szCs w:val="20"/>
              </w:rPr>
            </w:pPr>
          </w:p>
        </w:tc>
        <w:tc>
          <w:tcPr>
            <w:tcW w:w="1191" w:type="dxa"/>
            <w:shd w:val="clear" w:color="auto" w:fill="auto"/>
            <w:noWrap/>
            <w:vAlign w:val="center"/>
          </w:tcPr>
          <w:p w14:paraId="4CF69765">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58" w:type="dxa"/>
            <w:shd w:val="clear" w:color="auto" w:fill="auto"/>
            <w:vAlign w:val="center"/>
          </w:tcPr>
          <w:p w14:paraId="0CEF5456">
            <w:pPr>
              <w:widowControl/>
              <w:jc w:val="center"/>
              <w:rPr>
                <w:rFonts w:hint="eastAsia" w:ascii="宋体" w:hAnsi="宋体" w:cs="宋体"/>
                <w:kern w:val="0"/>
                <w:sz w:val="20"/>
                <w:szCs w:val="20"/>
              </w:rPr>
            </w:pPr>
            <w:r>
              <w:rPr>
                <w:rFonts w:hint="eastAsia" w:ascii="宋体" w:hAnsi="宋体" w:cs="宋体"/>
                <w:kern w:val="0"/>
                <w:sz w:val="20"/>
                <w:szCs w:val="20"/>
              </w:rPr>
              <w:t xml:space="preserve">94.20 </w:t>
            </w:r>
          </w:p>
        </w:tc>
        <w:tc>
          <w:tcPr>
            <w:tcW w:w="1097" w:type="dxa"/>
            <w:shd w:val="clear" w:color="auto" w:fill="auto"/>
            <w:vAlign w:val="center"/>
          </w:tcPr>
          <w:p w14:paraId="1460E1BF">
            <w:pPr>
              <w:widowControl/>
              <w:jc w:val="center"/>
              <w:rPr>
                <w:rFonts w:hint="eastAsia" w:ascii="宋体" w:hAnsi="宋体" w:cs="宋体"/>
                <w:kern w:val="0"/>
                <w:sz w:val="20"/>
                <w:szCs w:val="20"/>
              </w:rPr>
            </w:pPr>
            <w:r>
              <w:rPr>
                <w:rFonts w:hint="eastAsia" w:ascii="宋体" w:hAnsi="宋体" w:cs="宋体"/>
                <w:kern w:val="0"/>
                <w:sz w:val="20"/>
                <w:szCs w:val="20"/>
              </w:rPr>
              <w:t xml:space="preserve">100.48 </w:t>
            </w:r>
          </w:p>
        </w:tc>
        <w:tc>
          <w:tcPr>
            <w:tcW w:w="1164" w:type="dxa"/>
            <w:shd w:val="clear" w:color="auto" w:fill="auto"/>
            <w:vAlign w:val="center"/>
          </w:tcPr>
          <w:p w14:paraId="114AF7E9">
            <w:pPr>
              <w:widowControl/>
              <w:jc w:val="center"/>
              <w:rPr>
                <w:rFonts w:hint="eastAsia" w:ascii="宋体" w:hAnsi="宋体" w:cs="宋体"/>
                <w:kern w:val="0"/>
                <w:sz w:val="20"/>
                <w:szCs w:val="20"/>
              </w:rPr>
            </w:pPr>
            <w:r>
              <w:rPr>
                <w:rFonts w:hint="eastAsia" w:ascii="宋体" w:hAnsi="宋体" w:cs="宋体"/>
                <w:kern w:val="0"/>
                <w:sz w:val="20"/>
                <w:szCs w:val="20"/>
              </w:rPr>
              <w:t xml:space="preserve">100.48 </w:t>
            </w:r>
          </w:p>
        </w:tc>
        <w:tc>
          <w:tcPr>
            <w:tcW w:w="548" w:type="dxa"/>
            <w:shd w:val="clear" w:color="auto" w:fill="auto"/>
            <w:vAlign w:val="center"/>
          </w:tcPr>
          <w:p w14:paraId="6EE7365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310F9BD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14:paraId="6BACD0B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605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DE2A6CB">
            <w:pPr>
              <w:widowControl/>
              <w:jc w:val="left"/>
              <w:rPr>
                <w:rFonts w:hint="eastAsia" w:ascii="宋体" w:hAnsi="宋体" w:cs="宋体"/>
                <w:kern w:val="0"/>
                <w:sz w:val="20"/>
                <w:szCs w:val="20"/>
              </w:rPr>
            </w:pPr>
          </w:p>
        </w:tc>
        <w:tc>
          <w:tcPr>
            <w:tcW w:w="1191" w:type="dxa"/>
            <w:shd w:val="clear" w:color="auto" w:fill="auto"/>
            <w:vAlign w:val="center"/>
          </w:tcPr>
          <w:p w14:paraId="26811D43">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58" w:type="dxa"/>
            <w:shd w:val="clear" w:color="auto" w:fill="auto"/>
            <w:vAlign w:val="center"/>
          </w:tcPr>
          <w:p w14:paraId="7045F21C">
            <w:pPr>
              <w:widowControl/>
              <w:jc w:val="center"/>
              <w:rPr>
                <w:rFonts w:hint="eastAsia" w:ascii="宋体" w:hAnsi="宋体" w:cs="宋体"/>
                <w:kern w:val="0"/>
                <w:sz w:val="20"/>
                <w:szCs w:val="20"/>
              </w:rPr>
            </w:pPr>
            <w:r>
              <w:rPr>
                <w:rFonts w:hint="eastAsia" w:ascii="宋体" w:hAnsi="宋体" w:cs="宋体"/>
                <w:kern w:val="0"/>
                <w:sz w:val="20"/>
                <w:szCs w:val="20"/>
              </w:rPr>
              <w:t xml:space="preserve">3.60 </w:t>
            </w:r>
          </w:p>
        </w:tc>
        <w:tc>
          <w:tcPr>
            <w:tcW w:w="1097" w:type="dxa"/>
            <w:shd w:val="clear" w:color="auto" w:fill="auto"/>
            <w:vAlign w:val="center"/>
          </w:tcPr>
          <w:p w14:paraId="1FEC0C4C">
            <w:pPr>
              <w:widowControl/>
              <w:jc w:val="center"/>
              <w:rPr>
                <w:rFonts w:hint="eastAsia" w:ascii="宋体" w:hAnsi="宋体" w:cs="宋体"/>
                <w:kern w:val="0"/>
                <w:sz w:val="20"/>
                <w:szCs w:val="20"/>
              </w:rPr>
            </w:pPr>
            <w:r>
              <w:rPr>
                <w:rFonts w:hint="eastAsia" w:ascii="宋体" w:hAnsi="宋体" w:cs="宋体"/>
                <w:kern w:val="0"/>
                <w:sz w:val="20"/>
                <w:szCs w:val="20"/>
              </w:rPr>
              <w:t xml:space="preserve">11.16 </w:t>
            </w:r>
          </w:p>
        </w:tc>
        <w:tc>
          <w:tcPr>
            <w:tcW w:w="1164" w:type="dxa"/>
            <w:shd w:val="clear" w:color="auto" w:fill="auto"/>
            <w:vAlign w:val="center"/>
          </w:tcPr>
          <w:p w14:paraId="499EB93D">
            <w:pPr>
              <w:widowControl/>
              <w:jc w:val="center"/>
              <w:rPr>
                <w:rFonts w:hint="eastAsia" w:ascii="宋体" w:hAnsi="宋体" w:cs="宋体"/>
                <w:kern w:val="0"/>
                <w:sz w:val="20"/>
                <w:szCs w:val="20"/>
              </w:rPr>
            </w:pPr>
            <w:r>
              <w:rPr>
                <w:rFonts w:hint="eastAsia" w:ascii="宋体" w:hAnsi="宋体" w:cs="宋体"/>
                <w:kern w:val="0"/>
                <w:sz w:val="20"/>
                <w:szCs w:val="20"/>
              </w:rPr>
              <w:t xml:space="preserve">11.16 </w:t>
            </w:r>
          </w:p>
        </w:tc>
        <w:tc>
          <w:tcPr>
            <w:tcW w:w="548" w:type="dxa"/>
            <w:shd w:val="clear" w:color="auto" w:fill="auto"/>
            <w:vAlign w:val="center"/>
          </w:tcPr>
          <w:p w14:paraId="5CA59A0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3C20EAC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3886C32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FA5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15D9F6C3">
            <w:pPr>
              <w:widowControl/>
              <w:jc w:val="left"/>
              <w:rPr>
                <w:rFonts w:hint="eastAsia" w:ascii="宋体" w:hAnsi="宋体" w:cs="宋体"/>
                <w:kern w:val="0"/>
                <w:sz w:val="20"/>
                <w:szCs w:val="20"/>
              </w:rPr>
            </w:pPr>
          </w:p>
        </w:tc>
        <w:tc>
          <w:tcPr>
            <w:tcW w:w="1191" w:type="dxa"/>
            <w:shd w:val="clear" w:color="auto" w:fill="auto"/>
            <w:vAlign w:val="center"/>
          </w:tcPr>
          <w:p w14:paraId="68C44D1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58" w:type="dxa"/>
            <w:shd w:val="clear" w:color="auto" w:fill="auto"/>
            <w:vAlign w:val="center"/>
          </w:tcPr>
          <w:p w14:paraId="06023E0D">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097" w:type="dxa"/>
            <w:shd w:val="clear" w:color="auto" w:fill="auto"/>
            <w:vAlign w:val="center"/>
          </w:tcPr>
          <w:p w14:paraId="1AAAF591">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c>
          <w:tcPr>
            <w:tcW w:w="1164" w:type="dxa"/>
            <w:shd w:val="clear" w:color="auto" w:fill="auto"/>
            <w:vAlign w:val="center"/>
          </w:tcPr>
          <w:p w14:paraId="6C74DE42">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c>
          <w:tcPr>
            <w:tcW w:w="548" w:type="dxa"/>
            <w:shd w:val="clear" w:color="auto" w:fill="auto"/>
            <w:vAlign w:val="center"/>
          </w:tcPr>
          <w:p w14:paraId="79C46BC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4079227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13F7A71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166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102F6791">
            <w:pPr>
              <w:widowControl/>
              <w:jc w:val="left"/>
              <w:rPr>
                <w:rFonts w:hint="eastAsia" w:ascii="宋体" w:hAnsi="宋体" w:cs="宋体"/>
                <w:kern w:val="0"/>
                <w:sz w:val="20"/>
                <w:szCs w:val="20"/>
              </w:rPr>
            </w:pPr>
          </w:p>
        </w:tc>
        <w:tc>
          <w:tcPr>
            <w:tcW w:w="1191" w:type="dxa"/>
            <w:shd w:val="clear" w:color="auto" w:fill="auto"/>
            <w:vAlign w:val="center"/>
          </w:tcPr>
          <w:p w14:paraId="1192DEF4">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58" w:type="dxa"/>
            <w:shd w:val="clear" w:color="auto" w:fill="auto"/>
            <w:vAlign w:val="center"/>
          </w:tcPr>
          <w:p w14:paraId="314CFE20">
            <w:pPr>
              <w:widowControl/>
              <w:jc w:val="center"/>
              <w:rPr>
                <w:rFonts w:hint="eastAsia" w:ascii="宋体" w:hAnsi="宋体" w:cs="宋体"/>
                <w:kern w:val="0"/>
                <w:sz w:val="20"/>
                <w:szCs w:val="20"/>
              </w:rPr>
            </w:pPr>
            <w:r>
              <w:rPr>
                <w:rFonts w:hint="eastAsia" w:ascii="宋体" w:hAnsi="宋体" w:cs="宋体"/>
                <w:kern w:val="0"/>
                <w:sz w:val="20"/>
                <w:szCs w:val="20"/>
              </w:rPr>
              <w:t xml:space="preserve">1,839.18 </w:t>
            </w:r>
          </w:p>
        </w:tc>
        <w:tc>
          <w:tcPr>
            <w:tcW w:w="1097" w:type="dxa"/>
            <w:shd w:val="clear" w:color="auto" w:fill="auto"/>
            <w:vAlign w:val="center"/>
          </w:tcPr>
          <w:p w14:paraId="2ECFAB95">
            <w:pPr>
              <w:widowControl/>
              <w:jc w:val="center"/>
              <w:rPr>
                <w:rFonts w:hint="eastAsia" w:ascii="宋体" w:hAnsi="宋体" w:cs="宋体"/>
                <w:kern w:val="0"/>
                <w:sz w:val="20"/>
                <w:szCs w:val="20"/>
              </w:rPr>
            </w:pPr>
            <w:r>
              <w:rPr>
                <w:rFonts w:hint="eastAsia" w:ascii="宋体" w:hAnsi="宋体" w:cs="宋体"/>
                <w:kern w:val="0"/>
                <w:sz w:val="20"/>
                <w:szCs w:val="20"/>
              </w:rPr>
              <w:t xml:space="preserve">1,944.05 </w:t>
            </w:r>
          </w:p>
        </w:tc>
        <w:tc>
          <w:tcPr>
            <w:tcW w:w="1164" w:type="dxa"/>
            <w:shd w:val="clear" w:color="auto" w:fill="auto"/>
            <w:vAlign w:val="center"/>
          </w:tcPr>
          <w:p w14:paraId="446B8FC9">
            <w:pPr>
              <w:widowControl/>
              <w:jc w:val="center"/>
              <w:rPr>
                <w:rFonts w:hint="eastAsia" w:ascii="宋体" w:hAnsi="宋体" w:cs="宋体"/>
                <w:kern w:val="0"/>
                <w:sz w:val="20"/>
                <w:szCs w:val="20"/>
              </w:rPr>
            </w:pPr>
            <w:r>
              <w:rPr>
                <w:rFonts w:hint="eastAsia" w:ascii="宋体" w:hAnsi="宋体" w:cs="宋体"/>
                <w:kern w:val="0"/>
                <w:sz w:val="20"/>
                <w:szCs w:val="20"/>
              </w:rPr>
              <w:t xml:space="preserve">2,058.49 </w:t>
            </w:r>
          </w:p>
        </w:tc>
        <w:tc>
          <w:tcPr>
            <w:tcW w:w="548" w:type="dxa"/>
            <w:shd w:val="clear" w:color="auto" w:fill="auto"/>
            <w:vAlign w:val="center"/>
          </w:tcPr>
          <w:p w14:paraId="5CC678BE">
            <w:pPr>
              <w:widowControl/>
              <w:jc w:val="center"/>
              <w:rPr>
                <w:rFonts w:hint="eastAsia" w:ascii="宋体" w:hAnsi="宋体" w:cs="宋体"/>
                <w:kern w:val="0"/>
                <w:sz w:val="20"/>
                <w:szCs w:val="20"/>
              </w:rPr>
            </w:pPr>
            <w:r>
              <w:rPr>
                <w:rFonts w:hint="eastAsia"/>
              </w:rPr>
              <w:t>-</w:t>
            </w:r>
          </w:p>
        </w:tc>
        <w:tc>
          <w:tcPr>
            <w:tcW w:w="909" w:type="dxa"/>
            <w:shd w:val="clear" w:color="auto" w:fill="auto"/>
            <w:vAlign w:val="center"/>
          </w:tcPr>
          <w:p w14:paraId="2526A16C">
            <w:pPr>
              <w:widowControl/>
              <w:jc w:val="center"/>
              <w:rPr>
                <w:rFonts w:hint="eastAsia" w:ascii="宋体" w:hAnsi="宋体" w:cs="宋体"/>
                <w:kern w:val="0"/>
                <w:sz w:val="20"/>
                <w:szCs w:val="20"/>
              </w:rPr>
            </w:pPr>
            <w:r>
              <w:rPr>
                <w:rFonts w:hint="eastAsia"/>
              </w:rPr>
              <w:t>-</w:t>
            </w:r>
          </w:p>
        </w:tc>
        <w:tc>
          <w:tcPr>
            <w:tcW w:w="920" w:type="dxa"/>
            <w:shd w:val="clear" w:color="auto" w:fill="auto"/>
            <w:vAlign w:val="center"/>
          </w:tcPr>
          <w:p w14:paraId="07B2CE62">
            <w:pPr>
              <w:widowControl/>
              <w:jc w:val="center"/>
              <w:rPr>
                <w:rFonts w:hint="eastAsia" w:ascii="宋体" w:hAnsi="宋体" w:cs="宋体"/>
                <w:kern w:val="0"/>
                <w:sz w:val="20"/>
                <w:szCs w:val="20"/>
              </w:rPr>
            </w:pPr>
            <w:r>
              <w:rPr>
                <w:rFonts w:hint="eastAsia"/>
              </w:rPr>
              <w:t>-</w:t>
            </w:r>
          </w:p>
        </w:tc>
      </w:tr>
      <w:tr w14:paraId="7B1E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A2CDDC5">
            <w:pPr>
              <w:widowControl/>
              <w:jc w:val="left"/>
              <w:rPr>
                <w:rFonts w:hint="eastAsia" w:ascii="宋体" w:hAnsi="宋体" w:cs="宋体"/>
                <w:kern w:val="0"/>
                <w:sz w:val="20"/>
                <w:szCs w:val="20"/>
              </w:rPr>
            </w:pPr>
          </w:p>
        </w:tc>
        <w:tc>
          <w:tcPr>
            <w:tcW w:w="1191" w:type="dxa"/>
            <w:shd w:val="clear" w:color="auto" w:fill="auto"/>
            <w:vAlign w:val="center"/>
          </w:tcPr>
          <w:p w14:paraId="73A5D3E9">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58" w:type="dxa"/>
            <w:shd w:val="clear" w:color="auto" w:fill="auto"/>
            <w:vAlign w:val="center"/>
          </w:tcPr>
          <w:p w14:paraId="2391EC5D">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097" w:type="dxa"/>
            <w:shd w:val="clear" w:color="auto" w:fill="auto"/>
            <w:vAlign w:val="center"/>
          </w:tcPr>
          <w:p w14:paraId="2CAFBAA5">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164" w:type="dxa"/>
            <w:shd w:val="clear" w:color="auto" w:fill="auto"/>
            <w:vAlign w:val="center"/>
          </w:tcPr>
          <w:p w14:paraId="62BE46F7">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48" w:type="dxa"/>
            <w:shd w:val="clear" w:color="auto" w:fill="auto"/>
            <w:vAlign w:val="center"/>
          </w:tcPr>
          <w:p w14:paraId="3516B901">
            <w:pPr>
              <w:widowControl/>
              <w:jc w:val="center"/>
              <w:rPr>
                <w:rFonts w:hint="eastAsia" w:ascii="宋体" w:hAnsi="宋体" w:cs="宋体"/>
                <w:kern w:val="0"/>
                <w:sz w:val="20"/>
                <w:szCs w:val="20"/>
              </w:rPr>
            </w:pPr>
            <w:r>
              <w:rPr>
                <w:rFonts w:hint="eastAsia"/>
              </w:rPr>
              <w:t>-</w:t>
            </w:r>
          </w:p>
        </w:tc>
        <w:tc>
          <w:tcPr>
            <w:tcW w:w="909" w:type="dxa"/>
            <w:shd w:val="clear" w:color="auto" w:fill="auto"/>
            <w:vAlign w:val="center"/>
          </w:tcPr>
          <w:p w14:paraId="2D92E977">
            <w:pPr>
              <w:widowControl/>
              <w:jc w:val="center"/>
              <w:rPr>
                <w:rFonts w:hint="eastAsia" w:ascii="宋体" w:hAnsi="宋体" w:cs="宋体"/>
                <w:kern w:val="0"/>
                <w:sz w:val="20"/>
                <w:szCs w:val="20"/>
              </w:rPr>
            </w:pPr>
            <w:r>
              <w:rPr>
                <w:rFonts w:hint="eastAsia"/>
              </w:rPr>
              <w:t>-</w:t>
            </w:r>
          </w:p>
        </w:tc>
        <w:tc>
          <w:tcPr>
            <w:tcW w:w="920" w:type="dxa"/>
            <w:shd w:val="clear" w:color="auto" w:fill="auto"/>
            <w:vAlign w:val="center"/>
          </w:tcPr>
          <w:p w14:paraId="693D753C">
            <w:pPr>
              <w:widowControl/>
              <w:jc w:val="center"/>
              <w:rPr>
                <w:rFonts w:hint="eastAsia" w:ascii="宋体" w:hAnsi="宋体" w:cs="宋体"/>
                <w:kern w:val="0"/>
                <w:sz w:val="20"/>
                <w:szCs w:val="20"/>
              </w:rPr>
            </w:pPr>
            <w:r>
              <w:rPr>
                <w:rFonts w:hint="eastAsia"/>
              </w:rPr>
              <w:t>-</w:t>
            </w:r>
          </w:p>
        </w:tc>
      </w:tr>
      <w:tr w14:paraId="215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55E9989D">
            <w:pPr>
              <w:widowControl/>
              <w:jc w:val="left"/>
              <w:rPr>
                <w:rFonts w:hint="eastAsia" w:ascii="宋体" w:hAnsi="宋体" w:cs="宋体"/>
                <w:kern w:val="0"/>
                <w:sz w:val="20"/>
                <w:szCs w:val="20"/>
              </w:rPr>
            </w:pPr>
          </w:p>
        </w:tc>
        <w:tc>
          <w:tcPr>
            <w:tcW w:w="1191" w:type="dxa"/>
            <w:shd w:val="clear" w:color="auto" w:fill="auto"/>
            <w:vAlign w:val="center"/>
          </w:tcPr>
          <w:p w14:paraId="0F962A1E">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58" w:type="dxa"/>
            <w:shd w:val="clear" w:color="auto" w:fill="auto"/>
            <w:vAlign w:val="center"/>
          </w:tcPr>
          <w:p w14:paraId="4573660A">
            <w:pPr>
              <w:widowControl/>
              <w:jc w:val="center"/>
              <w:rPr>
                <w:rFonts w:hint="eastAsia" w:ascii="宋体" w:hAnsi="宋体" w:cs="宋体"/>
                <w:kern w:val="0"/>
                <w:sz w:val="20"/>
                <w:szCs w:val="20"/>
              </w:rPr>
            </w:pPr>
            <w:r>
              <w:rPr>
                <w:rFonts w:hint="eastAsia" w:ascii="宋体" w:hAnsi="宋体" w:cs="宋体"/>
                <w:kern w:val="0"/>
                <w:sz w:val="20"/>
                <w:szCs w:val="20"/>
              </w:rPr>
              <w:t xml:space="preserve">1,936.98 </w:t>
            </w:r>
          </w:p>
        </w:tc>
        <w:tc>
          <w:tcPr>
            <w:tcW w:w="1097" w:type="dxa"/>
            <w:shd w:val="clear" w:color="auto" w:fill="auto"/>
            <w:vAlign w:val="center"/>
          </w:tcPr>
          <w:p w14:paraId="39EAE889">
            <w:pPr>
              <w:widowControl/>
              <w:jc w:val="center"/>
              <w:rPr>
                <w:rFonts w:hint="eastAsia" w:ascii="宋体" w:hAnsi="宋体" w:cs="宋体"/>
                <w:kern w:val="0"/>
                <w:sz w:val="20"/>
                <w:szCs w:val="20"/>
              </w:rPr>
            </w:pPr>
            <w:r>
              <w:rPr>
                <w:rFonts w:ascii="宋体" w:hAnsi="宋体" w:cs="宋体"/>
                <w:kern w:val="0"/>
                <w:sz w:val="20"/>
                <w:szCs w:val="20"/>
              </w:rPr>
              <w:t>2,058.49</w:t>
            </w:r>
          </w:p>
        </w:tc>
        <w:tc>
          <w:tcPr>
            <w:tcW w:w="1164" w:type="dxa"/>
            <w:shd w:val="clear" w:color="auto" w:fill="auto"/>
            <w:vAlign w:val="center"/>
          </w:tcPr>
          <w:p w14:paraId="71B9A928">
            <w:pPr>
              <w:widowControl/>
              <w:jc w:val="center"/>
              <w:rPr>
                <w:rFonts w:hint="eastAsia" w:ascii="宋体" w:hAnsi="宋体" w:cs="宋体"/>
                <w:kern w:val="0"/>
                <w:sz w:val="20"/>
                <w:szCs w:val="20"/>
              </w:rPr>
            </w:pPr>
            <w:r>
              <w:rPr>
                <w:rFonts w:ascii="宋体" w:hAnsi="宋体" w:cs="宋体"/>
                <w:kern w:val="0"/>
                <w:sz w:val="20"/>
                <w:szCs w:val="20"/>
              </w:rPr>
              <w:t>2,057.19</w:t>
            </w:r>
          </w:p>
        </w:tc>
        <w:tc>
          <w:tcPr>
            <w:tcW w:w="548" w:type="dxa"/>
            <w:shd w:val="clear" w:color="auto" w:fill="auto"/>
            <w:vAlign w:val="center"/>
          </w:tcPr>
          <w:p w14:paraId="12AAB9A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733BEA0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2962C54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379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535" w:type="dxa"/>
            <w:vMerge w:val="restart"/>
            <w:shd w:val="clear" w:color="auto" w:fill="auto"/>
            <w:vAlign w:val="center"/>
          </w:tcPr>
          <w:p w14:paraId="77CDE227">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46" w:type="dxa"/>
            <w:gridSpan w:val="3"/>
            <w:shd w:val="clear" w:color="auto" w:fill="auto"/>
            <w:noWrap/>
            <w:vAlign w:val="center"/>
          </w:tcPr>
          <w:p w14:paraId="77ED0C7A">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41" w:type="dxa"/>
            <w:gridSpan w:val="4"/>
            <w:shd w:val="clear" w:color="auto" w:fill="auto"/>
            <w:noWrap/>
            <w:vAlign w:val="center"/>
          </w:tcPr>
          <w:p w14:paraId="2977CB61">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6A2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1535" w:type="dxa"/>
            <w:vMerge w:val="continue"/>
            <w:vAlign w:val="center"/>
          </w:tcPr>
          <w:p w14:paraId="78A42609">
            <w:pPr>
              <w:widowControl/>
              <w:jc w:val="left"/>
              <w:rPr>
                <w:rFonts w:hint="eastAsia" w:ascii="宋体" w:hAnsi="宋体" w:cs="宋体"/>
                <w:kern w:val="0"/>
                <w:sz w:val="20"/>
                <w:szCs w:val="20"/>
              </w:rPr>
            </w:pPr>
          </w:p>
        </w:tc>
        <w:tc>
          <w:tcPr>
            <w:tcW w:w="3446" w:type="dxa"/>
            <w:gridSpan w:val="3"/>
            <w:shd w:val="clear" w:color="auto" w:fill="auto"/>
            <w:vAlign w:val="center"/>
          </w:tcPr>
          <w:p w14:paraId="4DCFEA5F">
            <w:pPr>
              <w:widowControl/>
              <w:jc w:val="center"/>
              <w:rPr>
                <w:rFonts w:hint="eastAsia" w:ascii="宋体" w:hAnsi="宋体" w:cs="宋体"/>
                <w:kern w:val="0"/>
                <w:sz w:val="20"/>
                <w:szCs w:val="20"/>
              </w:rPr>
            </w:pPr>
            <w:r>
              <w:rPr>
                <w:rFonts w:hint="eastAsia" w:ascii="宋体" w:hAnsi="宋体" w:cs="宋体"/>
                <w:kern w:val="0"/>
                <w:sz w:val="20"/>
                <w:szCs w:val="20"/>
              </w:rPr>
              <w:t>目标1：宣传贯彻执行党和国家的教育方针、政策、法律法规等，坚持依法执教、依法治学，贯彻执行县教育局的行政规章制度；</w:t>
            </w:r>
          </w:p>
          <w:p w14:paraId="0C5A52C8">
            <w:pPr>
              <w:widowControl/>
              <w:jc w:val="center"/>
              <w:rPr>
                <w:rFonts w:hint="eastAsia" w:ascii="宋体" w:hAnsi="宋体" w:cs="宋体"/>
                <w:kern w:val="0"/>
                <w:sz w:val="20"/>
                <w:szCs w:val="20"/>
              </w:rPr>
            </w:pPr>
          </w:p>
          <w:p w14:paraId="4091F59C">
            <w:pPr>
              <w:widowControl/>
              <w:jc w:val="center"/>
              <w:rPr>
                <w:rFonts w:hint="eastAsia" w:ascii="宋体" w:hAnsi="宋体" w:cs="宋体"/>
                <w:kern w:val="0"/>
                <w:sz w:val="20"/>
                <w:szCs w:val="20"/>
              </w:rPr>
            </w:pPr>
            <w:r>
              <w:rPr>
                <w:rFonts w:hint="eastAsia" w:ascii="宋体" w:hAnsi="宋体" w:cs="宋体"/>
                <w:kern w:val="0"/>
                <w:sz w:val="20"/>
                <w:szCs w:val="20"/>
              </w:rPr>
              <w:t>目标2：资助学生人数176人，助学金发放及时率100%，有效减轻贫困家庭经济困难学生的经济负担，满足家庭经济困难学生基本生活需要，各项国家资助政策按规定得到落实，教育公平显著提升。</w:t>
            </w:r>
          </w:p>
          <w:p w14:paraId="1C8AA72C">
            <w:pPr>
              <w:widowControl/>
              <w:jc w:val="center"/>
              <w:rPr>
                <w:rFonts w:hint="eastAsia" w:ascii="宋体" w:hAnsi="宋体" w:cs="宋体"/>
                <w:kern w:val="0"/>
                <w:sz w:val="20"/>
                <w:szCs w:val="20"/>
              </w:rPr>
            </w:pPr>
          </w:p>
          <w:p w14:paraId="79C389E7">
            <w:pPr>
              <w:widowControl/>
              <w:jc w:val="center"/>
              <w:rPr>
                <w:rFonts w:hint="eastAsia" w:ascii="宋体" w:hAnsi="宋体" w:cs="宋体"/>
                <w:kern w:val="0"/>
                <w:sz w:val="20"/>
                <w:szCs w:val="20"/>
              </w:rPr>
            </w:pPr>
            <w:r>
              <w:rPr>
                <w:rFonts w:hint="eastAsia" w:ascii="宋体" w:hAnsi="宋体" w:cs="宋体"/>
                <w:kern w:val="0"/>
                <w:sz w:val="20"/>
                <w:szCs w:val="20"/>
              </w:rPr>
              <w:t>目标3：组织开展本校的教育科学科研和教育教学改革，全力推进教育实施；为提高教育教学水平，教师参加各类培训数量≥3次，教师培训合格率达100%，每学期参加教学质量分析会2次，各类考试完成及时率100%，控辍保学率≤0%。</w:t>
            </w:r>
          </w:p>
          <w:p w14:paraId="7AC62175">
            <w:pPr>
              <w:widowControl/>
              <w:jc w:val="center"/>
              <w:rPr>
                <w:rFonts w:hint="eastAsia" w:ascii="宋体" w:hAnsi="宋体" w:cs="宋体"/>
                <w:kern w:val="0"/>
                <w:sz w:val="20"/>
                <w:szCs w:val="20"/>
              </w:rPr>
            </w:pPr>
          </w:p>
          <w:p w14:paraId="334B4274">
            <w:pPr>
              <w:widowControl/>
              <w:jc w:val="center"/>
              <w:rPr>
                <w:rFonts w:hint="eastAsia" w:ascii="宋体" w:hAnsi="宋体" w:cs="宋体"/>
                <w:kern w:val="0"/>
                <w:sz w:val="20"/>
                <w:szCs w:val="20"/>
              </w:rPr>
            </w:pPr>
            <w:r>
              <w:rPr>
                <w:rFonts w:hint="eastAsia" w:ascii="宋体" w:hAnsi="宋体" w:cs="宋体"/>
                <w:kern w:val="0"/>
                <w:sz w:val="20"/>
                <w:szCs w:val="20"/>
              </w:rPr>
              <w:t>目标4：按照义务教育课程计划，开齐课程，开足课时，认真实施小学的教育教学管理，全面推进素质教育，全面提高教育教学质量；保障学校工作正常有序开展.</w:t>
            </w:r>
          </w:p>
          <w:p w14:paraId="55BE7085">
            <w:pPr>
              <w:widowControl/>
              <w:jc w:val="center"/>
              <w:rPr>
                <w:rFonts w:hint="eastAsia" w:ascii="宋体" w:hAnsi="宋体" w:cs="宋体"/>
                <w:kern w:val="0"/>
                <w:sz w:val="20"/>
                <w:szCs w:val="20"/>
              </w:rPr>
            </w:pPr>
          </w:p>
          <w:p w14:paraId="7CE08CBA">
            <w:pPr>
              <w:widowControl/>
              <w:jc w:val="center"/>
              <w:rPr>
                <w:rFonts w:hint="eastAsia" w:ascii="宋体" w:hAnsi="宋体" w:cs="宋体"/>
                <w:kern w:val="0"/>
                <w:sz w:val="20"/>
                <w:szCs w:val="20"/>
              </w:rPr>
            </w:pPr>
            <w:r>
              <w:rPr>
                <w:rFonts w:hint="eastAsia" w:ascii="宋体" w:hAnsi="宋体" w:cs="宋体"/>
                <w:kern w:val="0"/>
                <w:sz w:val="20"/>
                <w:szCs w:val="20"/>
              </w:rPr>
              <w:t>目标5：保障学校各项工作圆满完成。</w:t>
            </w:r>
          </w:p>
        </w:tc>
        <w:tc>
          <w:tcPr>
            <w:tcW w:w="3541" w:type="dxa"/>
            <w:gridSpan w:val="4"/>
            <w:shd w:val="clear" w:color="auto" w:fill="auto"/>
            <w:vAlign w:val="center"/>
          </w:tcPr>
          <w:p w14:paraId="078A1F1D">
            <w:pPr>
              <w:widowControl/>
              <w:jc w:val="center"/>
              <w:rPr>
                <w:rFonts w:hint="eastAsia" w:ascii="宋体" w:hAnsi="宋体" w:cs="宋体"/>
                <w:kern w:val="0"/>
                <w:sz w:val="20"/>
                <w:szCs w:val="20"/>
              </w:rPr>
            </w:pPr>
            <w:r>
              <w:rPr>
                <w:rFonts w:hint="eastAsia" w:ascii="宋体" w:hAnsi="宋体" w:cs="宋体"/>
                <w:kern w:val="0"/>
                <w:sz w:val="20"/>
                <w:szCs w:val="20"/>
              </w:rPr>
              <w:t>截止2023年12月31日，我单位已完成：1助学金资助学生人数180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次数20次，教师培训合格率达100%，每学期参加教学质量分析会2次，各类考试完成及时率100%，控辍保学率=0%。3.加强校园文化建设，保障学校工作正常有序开展。4.保障学校各项工作圆满完成。。</w:t>
            </w:r>
          </w:p>
        </w:tc>
      </w:tr>
      <w:tr w14:paraId="3E9A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535" w:type="dxa"/>
            <w:shd w:val="clear" w:color="auto" w:fill="auto"/>
            <w:vAlign w:val="center"/>
          </w:tcPr>
          <w:p w14:paraId="537D3574">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1" w:type="dxa"/>
            <w:shd w:val="clear" w:color="auto" w:fill="auto"/>
            <w:vAlign w:val="center"/>
          </w:tcPr>
          <w:p w14:paraId="7B9AC9CB">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58" w:type="dxa"/>
            <w:shd w:val="clear" w:color="auto" w:fill="auto"/>
            <w:vAlign w:val="center"/>
          </w:tcPr>
          <w:p w14:paraId="26406938">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97" w:type="dxa"/>
            <w:shd w:val="clear" w:color="auto" w:fill="auto"/>
            <w:vAlign w:val="center"/>
          </w:tcPr>
          <w:p w14:paraId="3FEB1FD4">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64" w:type="dxa"/>
            <w:shd w:val="clear" w:color="auto" w:fill="auto"/>
            <w:vAlign w:val="center"/>
          </w:tcPr>
          <w:p w14:paraId="1B37B71E">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548" w:type="dxa"/>
            <w:shd w:val="clear" w:color="auto" w:fill="auto"/>
            <w:vAlign w:val="center"/>
          </w:tcPr>
          <w:p w14:paraId="2EF6009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14:paraId="3B628500">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920" w:type="dxa"/>
            <w:shd w:val="clear" w:color="auto" w:fill="auto"/>
            <w:vAlign w:val="center"/>
          </w:tcPr>
          <w:p w14:paraId="4B12929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07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vAlign w:val="center"/>
          </w:tcPr>
          <w:p w14:paraId="6998B4B5">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1" w:type="dxa"/>
            <w:vMerge w:val="restart"/>
            <w:shd w:val="clear" w:color="auto" w:fill="auto"/>
            <w:vAlign w:val="center"/>
          </w:tcPr>
          <w:p w14:paraId="128FC86E">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14:paraId="1B5EA1AF">
            <w:pPr>
              <w:widowControl/>
              <w:jc w:val="center"/>
              <w:rPr>
                <w:rFonts w:hint="eastAsia" w:ascii="宋体" w:hAnsi="宋体" w:cs="宋体"/>
                <w:kern w:val="0"/>
                <w:sz w:val="20"/>
                <w:szCs w:val="20"/>
              </w:rPr>
            </w:pPr>
            <w:r>
              <w:rPr>
                <w:rFonts w:hint="eastAsia" w:ascii="宋体" w:hAnsi="宋体" w:cs="宋体"/>
                <w:kern w:val="0"/>
                <w:sz w:val="20"/>
                <w:szCs w:val="20"/>
              </w:rPr>
              <w:t>保障在职人员数量</w:t>
            </w:r>
          </w:p>
        </w:tc>
        <w:tc>
          <w:tcPr>
            <w:tcW w:w="1097" w:type="dxa"/>
            <w:shd w:val="clear" w:color="auto" w:fill="auto"/>
            <w:vAlign w:val="center"/>
          </w:tcPr>
          <w:p w14:paraId="6A1DF891">
            <w:pPr>
              <w:widowControl/>
              <w:jc w:val="center"/>
              <w:rPr>
                <w:rFonts w:hint="eastAsia" w:ascii="宋体" w:hAnsi="宋体" w:cs="宋体"/>
                <w:kern w:val="0"/>
                <w:sz w:val="20"/>
                <w:szCs w:val="20"/>
              </w:rPr>
            </w:pPr>
            <w:r>
              <w:rPr>
                <w:rFonts w:hint="eastAsia" w:ascii="宋体" w:hAnsi="宋体" w:cs="宋体"/>
                <w:kern w:val="0"/>
                <w:sz w:val="20"/>
                <w:szCs w:val="20"/>
              </w:rPr>
              <w:t>&gt;=89人</w:t>
            </w:r>
          </w:p>
        </w:tc>
        <w:tc>
          <w:tcPr>
            <w:tcW w:w="1164" w:type="dxa"/>
            <w:shd w:val="clear" w:color="auto" w:fill="auto"/>
            <w:vAlign w:val="center"/>
          </w:tcPr>
          <w:p w14:paraId="0C01CC10">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548" w:type="dxa"/>
            <w:shd w:val="clear" w:color="auto" w:fill="auto"/>
            <w:vAlign w:val="center"/>
          </w:tcPr>
          <w:p w14:paraId="0A2E263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00ED0115">
            <w:pPr>
              <w:widowControl/>
              <w:jc w:val="center"/>
              <w:rPr>
                <w:rFonts w:hint="eastAsia" w:ascii="宋体" w:hAnsi="宋体" w:cs="宋体"/>
                <w:kern w:val="0"/>
                <w:sz w:val="20"/>
                <w:szCs w:val="20"/>
              </w:rPr>
            </w:pPr>
            <w:r>
              <w:rPr>
                <w:rFonts w:hint="eastAsia" w:ascii="宋体" w:hAnsi="宋体" w:cs="宋体"/>
                <w:kern w:val="0"/>
                <w:sz w:val="20"/>
                <w:szCs w:val="20"/>
              </w:rPr>
              <w:t>89人</w:t>
            </w:r>
          </w:p>
        </w:tc>
        <w:tc>
          <w:tcPr>
            <w:tcW w:w="920" w:type="dxa"/>
            <w:shd w:val="clear" w:color="auto" w:fill="auto"/>
            <w:vAlign w:val="center"/>
          </w:tcPr>
          <w:p w14:paraId="47D8C5A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D45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14:paraId="6FB43E46">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1" w:type="dxa"/>
            <w:vMerge w:val="continue"/>
            <w:vAlign w:val="center"/>
          </w:tcPr>
          <w:p w14:paraId="4DE7600B">
            <w:pPr>
              <w:widowControl/>
              <w:jc w:val="left"/>
              <w:rPr>
                <w:rFonts w:hint="eastAsia" w:ascii="宋体" w:hAnsi="宋体" w:cs="宋体"/>
                <w:kern w:val="0"/>
                <w:sz w:val="20"/>
                <w:szCs w:val="20"/>
              </w:rPr>
            </w:pPr>
          </w:p>
        </w:tc>
        <w:tc>
          <w:tcPr>
            <w:tcW w:w="1158" w:type="dxa"/>
            <w:shd w:val="clear" w:color="auto" w:fill="auto"/>
            <w:vAlign w:val="center"/>
          </w:tcPr>
          <w:p w14:paraId="4102A31E">
            <w:pPr>
              <w:widowControl/>
              <w:jc w:val="center"/>
              <w:rPr>
                <w:rFonts w:hint="eastAsia" w:ascii="宋体" w:hAnsi="宋体" w:cs="宋体"/>
                <w:kern w:val="0"/>
                <w:sz w:val="20"/>
                <w:szCs w:val="20"/>
              </w:rPr>
            </w:pPr>
            <w:r>
              <w:rPr>
                <w:rFonts w:hint="eastAsia" w:ascii="宋体" w:hAnsi="宋体" w:cs="宋体"/>
                <w:kern w:val="0"/>
                <w:sz w:val="20"/>
                <w:szCs w:val="20"/>
              </w:rPr>
              <w:t>资助学生人数</w:t>
            </w:r>
          </w:p>
        </w:tc>
        <w:tc>
          <w:tcPr>
            <w:tcW w:w="1097" w:type="dxa"/>
            <w:shd w:val="clear" w:color="auto" w:fill="auto"/>
            <w:vAlign w:val="center"/>
          </w:tcPr>
          <w:p w14:paraId="325FDF4C">
            <w:pPr>
              <w:widowControl/>
              <w:jc w:val="center"/>
              <w:rPr>
                <w:rFonts w:hint="eastAsia" w:ascii="宋体" w:hAnsi="宋体" w:cs="宋体"/>
                <w:kern w:val="0"/>
                <w:sz w:val="20"/>
                <w:szCs w:val="20"/>
              </w:rPr>
            </w:pPr>
            <w:r>
              <w:rPr>
                <w:rFonts w:hint="eastAsia" w:ascii="宋体" w:hAnsi="宋体" w:cs="宋体"/>
                <w:kern w:val="0"/>
                <w:sz w:val="20"/>
                <w:szCs w:val="20"/>
              </w:rPr>
              <w:t>&gt;=176人</w:t>
            </w:r>
          </w:p>
        </w:tc>
        <w:tc>
          <w:tcPr>
            <w:tcW w:w="1164" w:type="dxa"/>
            <w:shd w:val="clear" w:color="auto" w:fill="auto"/>
            <w:vAlign w:val="center"/>
          </w:tcPr>
          <w:p w14:paraId="47448BC0">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7C1829B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0BA2E7CD">
            <w:pPr>
              <w:widowControl/>
              <w:jc w:val="center"/>
              <w:rPr>
                <w:rFonts w:hint="eastAsia" w:ascii="宋体" w:hAnsi="宋体" w:cs="宋体"/>
                <w:kern w:val="0"/>
                <w:sz w:val="20"/>
                <w:szCs w:val="20"/>
              </w:rPr>
            </w:pPr>
            <w:r>
              <w:rPr>
                <w:rFonts w:hint="eastAsia" w:ascii="宋体" w:hAnsi="宋体" w:cs="宋体"/>
                <w:kern w:val="0"/>
                <w:sz w:val="20"/>
                <w:szCs w:val="20"/>
              </w:rPr>
              <w:t>180人</w:t>
            </w:r>
          </w:p>
        </w:tc>
        <w:tc>
          <w:tcPr>
            <w:tcW w:w="920" w:type="dxa"/>
            <w:shd w:val="clear" w:color="auto" w:fill="auto"/>
            <w:vAlign w:val="center"/>
          </w:tcPr>
          <w:p w14:paraId="6DA949D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C76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0A5853DB">
            <w:pPr>
              <w:widowControl/>
              <w:jc w:val="left"/>
              <w:rPr>
                <w:rFonts w:hint="eastAsia" w:ascii="宋体" w:hAnsi="宋体" w:cs="宋体"/>
                <w:kern w:val="0"/>
                <w:sz w:val="20"/>
                <w:szCs w:val="20"/>
              </w:rPr>
            </w:pPr>
          </w:p>
        </w:tc>
        <w:tc>
          <w:tcPr>
            <w:tcW w:w="1191" w:type="dxa"/>
            <w:vMerge w:val="continue"/>
            <w:vAlign w:val="center"/>
          </w:tcPr>
          <w:p w14:paraId="4A428449">
            <w:pPr>
              <w:widowControl/>
              <w:jc w:val="left"/>
              <w:rPr>
                <w:rFonts w:hint="eastAsia" w:ascii="宋体" w:hAnsi="宋体" w:cs="宋体"/>
                <w:kern w:val="0"/>
                <w:sz w:val="20"/>
                <w:szCs w:val="20"/>
              </w:rPr>
            </w:pPr>
          </w:p>
        </w:tc>
        <w:tc>
          <w:tcPr>
            <w:tcW w:w="1158" w:type="dxa"/>
            <w:shd w:val="clear" w:color="auto" w:fill="auto"/>
            <w:vAlign w:val="center"/>
          </w:tcPr>
          <w:p w14:paraId="0B009ACD">
            <w:pPr>
              <w:widowControl/>
              <w:jc w:val="center"/>
              <w:rPr>
                <w:rFonts w:hint="eastAsia" w:ascii="宋体" w:hAnsi="宋体" w:cs="宋体"/>
                <w:kern w:val="0"/>
                <w:sz w:val="20"/>
                <w:szCs w:val="20"/>
              </w:rPr>
            </w:pPr>
            <w:r>
              <w:rPr>
                <w:rFonts w:hint="eastAsia" w:ascii="宋体" w:hAnsi="宋体" w:cs="宋体"/>
                <w:kern w:val="0"/>
                <w:sz w:val="20"/>
                <w:szCs w:val="20"/>
              </w:rPr>
              <w:t>开展教师培训数量</w:t>
            </w:r>
          </w:p>
        </w:tc>
        <w:tc>
          <w:tcPr>
            <w:tcW w:w="1097" w:type="dxa"/>
            <w:shd w:val="clear" w:color="auto" w:fill="auto"/>
            <w:vAlign w:val="center"/>
          </w:tcPr>
          <w:p w14:paraId="46733DDA">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164" w:type="dxa"/>
            <w:shd w:val="clear" w:color="auto" w:fill="auto"/>
            <w:vAlign w:val="center"/>
          </w:tcPr>
          <w:p w14:paraId="18D8160B">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1F0EC09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501C6418">
            <w:pPr>
              <w:widowControl/>
              <w:jc w:val="center"/>
              <w:rPr>
                <w:rFonts w:hint="eastAsia" w:ascii="宋体" w:hAnsi="宋体" w:cs="宋体"/>
                <w:kern w:val="0"/>
                <w:sz w:val="20"/>
                <w:szCs w:val="20"/>
              </w:rPr>
            </w:pPr>
            <w:r>
              <w:rPr>
                <w:rFonts w:hint="eastAsia" w:ascii="宋体" w:hAnsi="宋体" w:cs="宋体"/>
                <w:kern w:val="0"/>
                <w:sz w:val="20"/>
                <w:szCs w:val="20"/>
              </w:rPr>
              <w:t>3次</w:t>
            </w:r>
          </w:p>
        </w:tc>
        <w:tc>
          <w:tcPr>
            <w:tcW w:w="920" w:type="dxa"/>
            <w:shd w:val="clear" w:color="auto" w:fill="auto"/>
            <w:vAlign w:val="center"/>
          </w:tcPr>
          <w:p w14:paraId="28B6D72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32F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3C1A64E">
            <w:pPr>
              <w:widowControl/>
              <w:jc w:val="left"/>
              <w:rPr>
                <w:rFonts w:hint="eastAsia" w:ascii="宋体" w:hAnsi="宋体" w:cs="宋体"/>
                <w:kern w:val="0"/>
                <w:sz w:val="20"/>
                <w:szCs w:val="20"/>
              </w:rPr>
            </w:pPr>
          </w:p>
        </w:tc>
        <w:tc>
          <w:tcPr>
            <w:tcW w:w="1191" w:type="dxa"/>
            <w:vMerge w:val="continue"/>
            <w:vAlign w:val="center"/>
          </w:tcPr>
          <w:p w14:paraId="03E61872">
            <w:pPr>
              <w:widowControl/>
              <w:jc w:val="left"/>
              <w:rPr>
                <w:rFonts w:hint="eastAsia" w:ascii="宋体" w:hAnsi="宋体" w:cs="宋体"/>
                <w:kern w:val="0"/>
                <w:sz w:val="20"/>
                <w:szCs w:val="20"/>
              </w:rPr>
            </w:pPr>
          </w:p>
        </w:tc>
        <w:tc>
          <w:tcPr>
            <w:tcW w:w="1158" w:type="dxa"/>
            <w:shd w:val="clear" w:color="auto" w:fill="auto"/>
            <w:vAlign w:val="center"/>
          </w:tcPr>
          <w:p w14:paraId="0ACFEB72">
            <w:pPr>
              <w:widowControl/>
              <w:jc w:val="center"/>
              <w:rPr>
                <w:rFonts w:hint="eastAsia" w:ascii="宋体" w:hAnsi="宋体" w:cs="宋体"/>
                <w:kern w:val="0"/>
                <w:sz w:val="20"/>
                <w:szCs w:val="20"/>
              </w:rPr>
            </w:pPr>
            <w:r>
              <w:rPr>
                <w:rFonts w:hint="eastAsia" w:ascii="宋体" w:hAnsi="宋体" w:cs="宋体"/>
                <w:kern w:val="0"/>
                <w:sz w:val="20"/>
                <w:szCs w:val="20"/>
              </w:rPr>
              <w:t>组织教学质量分析会</w:t>
            </w:r>
          </w:p>
        </w:tc>
        <w:tc>
          <w:tcPr>
            <w:tcW w:w="1097" w:type="dxa"/>
            <w:shd w:val="clear" w:color="auto" w:fill="auto"/>
            <w:vAlign w:val="center"/>
          </w:tcPr>
          <w:p w14:paraId="61516D3D">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164" w:type="dxa"/>
            <w:shd w:val="clear" w:color="auto" w:fill="auto"/>
            <w:vAlign w:val="center"/>
          </w:tcPr>
          <w:p w14:paraId="155C9C0C">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1067F75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1EFBE648">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920" w:type="dxa"/>
            <w:shd w:val="clear" w:color="auto" w:fill="auto"/>
            <w:vAlign w:val="center"/>
          </w:tcPr>
          <w:p w14:paraId="60A19519">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EF5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1C674154">
            <w:pPr>
              <w:widowControl/>
              <w:jc w:val="left"/>
              <w:rPr>
                <w:rFonts w:hint="eastAsia" w:ascii="宋体" w:hAnsi="宋体" w:cs="宋体"/>
                <w:kern w:val="0"/>
                <w:sz w:val="20"/>
                <w:szCs w:val="20"/>
              </w:rPr>
            </w:pPr>
          </w:p>
        </w:tc>
        <w:tc>
          <w:tcPr>
            <w:tcW w:w="1191" w:type="dxa"/>
            <w:shd w:val="clear" w:color="auto" w:fill="auto"/>
            <w:vAlign w:val="center"/>
          </w:tcPr>
          <w:p w14:paraId="6C2020D4">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58" w:type="dxa"/>
            <w:shd w:val="clear" w:color="auto" w:fill="auto"/>
            <w:vAlign w:val="center"/>
          </w:tcPr>
          <w:p w14:paraId="1280757B">
            <w:pPr>
              <w:widowControl/>
              <w:jc w:val="center"/>
              <w:rPr>
                <w:rFonts w:hint="eastAsia" w:ascii="宋体" w:hAnsi="宋体" w:cs="宋体"/>
                <w:kern w:val="0"/>
                <w:sz w:val="20"/>
                <w:szCs w:val="20"/>
              </w:rPr>
            </w:pPr>
            <w:r>
              <w:rPr>
                <w:rFonts w:hint="eastAsia" w:ascii="宋体" w:hAnsi="宋体" w:cs="宋体"/>
                <w:kern w:val="0"/>
                <w:sz w:val="20"/>
                <w:szCs w:val="20"/>
              </w:rPr>
              <w:t>助学金发放及时率</w:t>
            </w:r>
          </w:p>
        </w:tc>
        <w:tc>
          <w:tcPr>
            <w:tcW w:w="1097" w:type="dxa"/>
            <w:shd w:val="clear" w:color="auto" w:fill="auto"/>
            <w:vAlign w:val="center"/>
          </w:tcPr>
          <w:p w14:paraId="150AF90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vAlign w:val="center"/>
          </w:tcPr>
          <w:p w14:paraId="068E2B2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3E5E246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057AB17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14:paraId="51EFBBE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774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14:paraId="5D7BC47F">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1" w:type="dxa"/>
            <w:shd w:val="clear" w:color="auto" w:fill="auto"/>
            <w:vAlign w:val="center"/>
          </w:tcPr>
          <w:p w14:paraId="1D89734D">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14:paraId="36DB6430">
            <w:pPr>
              <w:widowControl/>
              <w:jc w:val="center"/>
              <w:rPr>
                <w:rFonts w:hint="eastAsia" w:ascii="宋体" w:hAnsi="宋体" w:cs="宋体"/>
                <w:kern w:val="0"/>
                <w:sz w:val="20"/>
                <w:szCs w:val="20"/>
              </w:rPr>
            </w:pPr>
            <w:r>
              <w:rPr>
                <w:rFonts w:hint="eastAsia" w:ascii="宋体" w:hAnsi="宋体" w:cs="宋体"/>
                <w:kern w:val="0"/>
                <w:sz w:val="20"/>
                <w:szCs w:val="20"/>
              </w:rPr>
              <w:t>各类培训及学习次数</w:t>
            </w:r>
          </w:p>
        </w:tc>
        <w:tc>
          <w:tcPr>
            <w:tcW w:w="1097" w:type="dxa"/>
            <w:shd w:val="clear" w:color="auto" w:fill="auto"/>
            <w:vAlign w:val="center"/>
          </w:tcPr>
          <w:p w14:paraId="2FCDFFE8">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164" w:type="dxa"/>
            <w:shd w:val="clear" w:color="auto" w:fill="auto"/>
            <w:vAlign w:val="center"/>
          </w:tcPr>
          <w:p w14:paraId="36CACE89">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6BE53642">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289F599A">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920" w:type="dxa"/>
            <w:shd w:val="clear" w:color="auto" w:fill="auto"/>
            <w:vAlign w:val="center"/>
          </w:tcPr>
          <w:p w14:paraId="41C1008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AD3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26D5532">
            <w:pPr>
              <w:widowControl/>
              <w:jc w:val="left"/>
              <w:rPr>
                <w:rFonts w:hint="eastAsia" w:ascii="宋体" w:hAnsi="宋体" w:cs="宋体"/>
                <w:kern w:val="0"/>
                <w:sz w:val="20"/>
                <w:szCs w:val="20"/>
              </w:rPr>
            </w:pPr>
          </w:p>
        </w:tc>
        <w:tc>
          <w:tcPr>
            <w:tcW w:w="1191" w:type="dxa"/>
            <w:vMerge w:val="restart"/>
            <w:shd w:val="clear" w:color="auto" w:fill="auto"/>
            <w:noWrap/>
            <w:vAlign w:val="center"/>
          </w:tcPr>
          <w:p w14:paraId="1381341F">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14:paraId="1E37C932">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097" w:type="dxa"/>
            <w:shd w:val="clear" w:color="auto" w:fill="auto"/>
            <w:noWrap/>
            <w:vAlign w:val="center"/>
          </w:tcPr>
          <w:p w14:paraId="32E89A1A">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14:paraId="0B3BA0C6">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0E1FFA1B">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320473A8">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14:paraId="48C2A3D6">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4523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1E79F38F">
            <w:pPr>
              <w:widowControl/>
              <w:jc w:val="left"/>
              <w:rPr>
                <w:rFonts w:hint="eastAsia" w:ascii="宋体" w:hAnsi="宋体" w:cs="宋体"/>
                <w:kern w:val="0"/>
                <w:sz w:val="20"/>
                <w:szCs w:val="20"/>
              </w:rPr>
            </w:pPr>
          </w:p>
        </w:tc>
        <w:tc>
          <w:tcPr>
            <w:tcW w:w="1191" w:type="dxa"/>
            <w:vMerge w:val="continue"/>
            <w:vAlign w:val="center"/>
          </w:tcPr>
          <w:p w14:paraId="462BC31E">
            <w:pPr>
              <w:widowControl/>
              <w:jc w:val="left"/>
              <w:rPr>
                <w:rFonts w:hint="eastAsia" w:ascii="宋体" w:hAnsi="宋体" w:cs="宋体"/>
                <w:kern w:val="0"/>
                <w:sz w:val="20"/>
                <w:szCs w:val="20"/>
              </w:rPr>
            </w:pPr>
          </w:p>
        </w:tc>
        <w:tc>
          <w:tcPr>
            <w:tcW w:w="1158" w:type="dxa"/>
            <w:shd w:val="clear" w:color="auto" w:fill="auto"/>
            <w:noWrap/>
            <w:vAlign w:val="center"/>
          </w:tcPr>
          <w:p w14:paraId="215B4C4B">
            <w:pPr>
              <w:widowControl/>
              <w:jc w:val="left"/>
              <w:rPr>
                <w:rFonts w:hint="eastAsia" w:ascii="宋体" w:hAnsi="宋体" w:cs="宋体"/>
                <w:kern w:val="0"/>
                <w:sz w:val="20"/>
                <w:szCs w:val="20"/>
              </w:rPr>
            </w:pPr>
            <w:r>
              <w:rPr>
                <w:rFonts w:hint="eastAsia" w:ascii="宋体" w:hAnsi="宋体" w:cs="宋体"/>
                <w:kern w:val="0"/>
                <w:sz w:val="20"/>
                <w:szCs w:val="20"/>
              </w:rPr>
              <w:t>控辍保学率</w:t>
            </w:r>
          </w:p>
        </w:tc>
        <w:tc>
          <w:tcPr>
            <w:tcW w:w="1097" w:type="dxa"/>
            <w:shd w:val="clear" w:color="auto" w:fill="auto"/>
            <w:noWrap/>
            <w:vAlign w:val="center"/>
          </w:tcPr>
          <w:p w14:paraId="1B20CA88">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1164" w:type="dxa"/>
            <w:shd w:val="clear" w:color="auto" w:fill="auto"/>
            <w:noWrap/>
            <w:vAlign w:val="center"/>
          </w:tcPr>
          <w:p w14:paraId="1ECF4B50">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1F3F6461">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2AB30D82">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920" w:type="dxa"/>
            <w:shd w:val="clear" w:color="auto" w:fill="auto"/>
            <w:noWrap/>
            <w:vAlign w:val="center"/>
          </w:tcPr>
          <w:p w14:paraId="7880089A">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574A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59D5A86F">
            <w:pPr>
              <w:widowControl/>
              <w:jc w:val="left"/>
              <w:rPr>
                <w:rFonts w:hint="eastAsia" w:ascii="宋体" w:hAnsi="宋体" w:cs="宋体"/>
                <w:kern w:val="0"/>
                <w:sz w:val="20"/>
                <w:szCs w:val="20"/>
              </w:rPr>
            </w:pPr>
          </w:p>
        </w:tc>
        <w:tc>
          <w:tcPr>
            <w:tcW w:w="1191" w:type="dxa"/>
            <w:shd w:val="clear" w:color="auto" w:fill="auto"/>
            <w:noWrap/>
            <w:vAlign w:val="center"/>
          </w:tcPr>
          <w:p w14:paraId="5A8D2C7F">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noWrap/>
            <w:vAlign w:val="center"/>
          </w:tcPr>
          <w:p w14:paraId="726A4F95">
            <w:pPr>
              <w:widowControl/>
              <w:jc w:val="left"/>
              <w:rPr>
                <w:rFonts w:hint="eastAsia" w:ascii="宋体" w:hAnsi="宋体" w:cs="宋体"/>
                <w:kern w:val="0"/>
                <w:sz w:val="20"/>
                <w:szCs w:val="20"/>
              </w:rPr>
            </w:pPr>
            <w:r>
              <w:rPr>
                <w:rFonts w:hint="eastAsia" w:ascii="宋体" w:hAnsi="宋体" w:cs="宋体"/>
                <w:kern w:val="0"/>
                <w:sz w:val="20"/>
                <w:szCs w:val="20"/>
              </w:rPr>
              <w:t>义务教育学生入学率</w:t>
            </w:r>
          </w:p>
        </w:tc>
        <w:tc>
          <w:tcPr>
            <w:tcW w:w="1097" w:type="dxa"/>
            <w:shd w:val="clear" w:color="auto" w:fill="auto"/>
            <w:noWrap/>
            <w:vAlign w:val="center"/>
          </w:tcPr>
          <w:p w14:paraId="4623A733">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14:paraId="054201C1">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10DF1143">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4F4B279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14:paraId="3E86B838">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4100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20FD26CF">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91" w:type="dxa"/>
            <w:shd w:val="clear" w:color="auto" w:fill="auto"/>
            <w:noWrap/>
            <w:vAlign w:val="center"/>
          </w:tcPr>
          <w:p w14:paraId="5DF409F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58" w:type="dxa"/>
            <w:shd w:val="clear" w:color="auto" w:fill="auto"/>
            <w:noWrap/>
            <w:vAlign w:val="center"/>
          </w:tcPr>
          <w:p w14:paraId="6A593AB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7" w:type="dxa"/>
            <w:shd w:val="clear" w:color="auto" w:fill="auto"/>
            <w:noWrap/>
            <w:vAlign w:val="center"/>
          </w:tcPr>
          <w:p w14:paraId="10954DA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64" w:type="dxa"/>
            <w:shd w:val="clear" w:color="auto" w:fill="auto"/>
            <w:noWrap/>
            <w:vAlign w:val="center"/>
          </w:tcPr>
          <w:p w14:paraId="0F04098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8" w:type="dxa"/>
            <w:shd w:val="clear" w:color="auto" w:fill="auto"/>
            <w:noWrap/>
            <w:vAlign w:val="center"/>
          </w:tcPr>
          <w:p w14:paraId="37CDDBE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noWrap/>
            <w:vAlign w:val="center"/>
          </w:tcPr>
          <w:p w14:paraId="55FD011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noWrap/>
            <w:vAlign w:val="center"/>
          </w:tcPr>
          <w:p w14:paraId="0EFFF8E7">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714A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2DC67624">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91" w:type="dxa"/>
            <w:shd w:val="clear" w:color="auto" w:fill="auto"/>
            <w:noWrap/>
            <w:vAlign w:val="center"/>
          </w:tcPr>
          <w:p w14:paraId="2431888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58" w:type="dxa"/>
            <w:shd w:val="clear" w:color="auto" w:fill="auto"/>
            <w:noWrap/>
            <w:vAlign w:val="center"/>
          </w:tcPr>
          <w:p w14:paraId="5FEB622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7" w:type="dxa"/>
            <w:shd w:val="clear" w:color="auto" w:fill="auto"/>
            <w:noWrap/>
            <w:vAlign w:val="center"/>
          </w:tcPr>
          <w:p w14:paraId="6516F09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64" w:type="dxa"/>
            <w:shd w:val="clear" w:color="auto" w:fill="auto"/>
            <w:noWrap/>
            <w:vAlign w:val="center"/>
          </w:tcPr>
          <w:p w14:paraId="4F4616D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8" w:type="dxa"/>
            <w:shd w:val="clear" w:color="auto" w:fill="auto"/>
            <w:noWrap/>
            <w:vAlign w:val="center"/>
          </w:tcPr>
          <w:p w14:paraId="00CF773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noWrap/>
            <w:vAlign w:val="center"/>
          </w:tcPr>
          <w:p w14:paraId="4D8DD53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noWrap/>
            <w:vAlign w:val="center"/>
          </w:tcPr>
          <w:p w14:paraId="56D695B1">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3EE5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57C4D550">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1" w:type="dxa"/>
            <w:shd w:val="clear" w:color="auto" w:fill="auto"/>
            <w:noWrap/>
            <w:vAlign w:val="center"/>
          </w:tcPr>
          <w:p w14:paraId="60D941B7">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14:paraId="15C296F2">
            <w:pPr>
              <w:widowControl/>
              <w:jc w:val="left"/>
              <w:rPr>
                <w:rFonts w:hint="eastAsia" w:ascii="宋体" w:hAnsi="宋体" w:cs="宋体"/>
                <w:kern w:val="0"/>
                <w:sz w:val="20"/>
                <w:szCs w:val="20"/>
              </w:rPr>
            </w:pPr>
            <w:r>
              <w:rPr>
                <w:rFonts w:hint="eastAsia" w:ascii="宋体" w:hAnsi="宋体" w:cs="宋体"/>
                <w:kern w:val="0"/>
                <w:sz w:val="20"/>
                <w:szCs w:val="20"/>
              </w:rPr>
              <w:t>师生满意度</w:t>
            </w:r>
          </w:p>
        </w:tc>
        <w:tc>
          <w:tcPr>
            <w:tcW w:w="1097" w:type="dxa"/>
            <w:shd w:val="clear" w:color="auto" w:fill="auto"/>
            <w:noWrap/>
            <w:vAlign w:val="center"/>
          </w:tcPr>
          <w:p w14:paraId="31B28DFB">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164" w:type="dxa"/>
            <w:shd w:val="clear" w:color="auto" w:fill="auto"/>
            <w:noWrap/>
            <w:vAlign w:val="center"/>
          </w:tcPr>
          <w:p w14:paraId="248074BC">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359F1106">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noWrap/>
            <w:vAlign w:val="center"/>
          </w:tcPr>
          <w:p w14:paraId="3BED6CFE">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920" w:type="dxa"/>
            <w:shd w:val="clear" w:color="auto" w:fill="auto"/>
            <w:noWrap/>
            <w:vAlign w:val="center"/>
          </w:tcPr>
          <w:p w14:paraId="3AB1086F">
            <w:pPr>
              <w:widowControl/>
              <w:jc w:val="left"/>
              <w:rPr>
                <w:rFonts w:hint="eastAsia" w:ascii="宋体" w:hAnsi="宋体" w:cs="宋体"/>
                <w:kern w:val="0"/>
                <w:sz w:val="20"/>
                <w:szCs w:val="20"/>
              </w:rPr>
            </w:pPr>
            <w:r>
              <w:rPr>
                <w:rFonts w:hint="eastAsia" w:ascii="宋体" w:hAnsi="宋体" w:cs="宋体"/>
                <w:kern w:val="0"/>
                <w:sz w:val="20"/>
                <w:szCs w:val="20"/>
              </w:rPr>
              <w:t>5</w:t>
            </w:r>
          </w:p>
        </w:tc>
      </w:tr>
    </w:tbl>
    <w:p w14:paraId="670B47BC">
      <w:pPr>
        <w:ind w:firstLine="640" w:firstLineChars="200"/>
        <w:jc w:val="left"/>
        <w:rPr>
          <w:rFonts w:ascii="仿宋_GB2312" w:eastAsia="仿宋_GB2312"/>
          <w:sz w:val="32"/>
          <w:szCs w:val="32"/>
        </w:rPr>
      </w:pPr>
    </w:p>
    <w:p w14:paraId="11A008B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278199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B275882">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7EEBE45F">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6A9588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39C991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3AB5AD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8D919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B697E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EAB59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E84FF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D2E24D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0824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46F6D8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4FED9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DF008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21178B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A5CFE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D8BBF04">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178A297">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7404B269">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03FA775">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80618A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8FFAA70">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8EFF78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77B43D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01874A0">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06C5BEB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2AD25C5">
      <w:pPr>
        <w:ind w:firstLine="640" w:firstLineChars="200"/>
        <w:rPr>
          <w:rFonts w:ascii="仿宋_GB2312" w:eastAsia="仿宋_GB2312"/>
          <w:sz w:val="32"/>
          <w:szCs w:val="32"/>
        </w:rPr>
      </w:pPr>
    </w:p>
    <w:p w14:paraId="6E8CD0F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807A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3DD21E">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73DD21E">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E75F1"/>
    <w:rsid w:val="00213C59"/>
    <w:rsid w:val="003210CE"/>
    <w:rsid w:val="00487D61"/>
    <w:rsid w:val="004D590B"/>
    <w:rsid w:val="00721886"/>
    <w:rsid w:val="00777BC8"/>
    <w:rsid w:val="007810A3"/>
    <w:rsid w:val="007E6582"/>
    <w:rsid w:val="007E75F1"/>
    <w:rsid w:val="009245BF"/>
    <w:rsid w:val="00A7656D"/>
    <w:rsid w:val="00B70D59"/>
    <w:rsid w:val="00C61479"/>
    <w:rsid w:val="00C6420D"/>
    <w:rsid w:val="00F52A8D"/>
    <w:rsid w:val="00FC5EC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C36D9"/>
    <w:rsid w:val="20DC1AB9"/>
    <w:rsid w:val="20DD6197"/>
    <w:rsid w:val="212631E0"/>
    <w:rsid w:val="21A53757"/>
    <w:rsid w:val="221236C6"/>
    <w:rsid w:val="22D7662C"/>
    <w:rsid w:val="22F817D7"/>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E18FB"/>
    <w:rsid w:val="4AAA220A"/>
    <w:rsid w:val="4AE12E67"/>
    <w:rsid w:val="4B4C0111"/>
    <w:rsid w:val="4B8553A9"/>
    <w:rsid w:val="4BDB3730"/>
    <w:rsid w:val="4C200F7A"/>
    <w:rsid w:val="4C58008F"/>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5870</Words>
  <Characters>6727</Characters>
  <Lines>56</Lines>
  <Paragraphs>15</Paragraphs>
  <TotalTime>14</TotalTime>
  <ScaleCrop>false</ScaleCrop>
  <LinksUpToDate>false</LinksUpToDate>
  <CharactersWithSpaces>6767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2024-11-12T10:33:01Z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